
<file path=[Content_Types].xml><?xml version="1.0" encoding="utf-8"?>
<Types xmlns="http://schemas.openxmlformats.org/package/2006/content-types">
  <Default Extension="json" ContentType="application/json"/>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EC927" w14:textId="77777777" w:rsidR="009E4D77" w:rsidRPr="00B9107F" w:rsidRDefault="009E4D77" w:rsidP="009E4D77">
      <w:pPr>
        <w:pStyle w:val="Heading1"/>
      </w:pPr>
      <w:r w:rsidRPr="00B9107F">
        <w:t>SUPPLEMENTARY MATERIALS</w:t>
      </w:r>
    </w:p>
    <w:p w14:paraId="2AA7E0E5" w14:textId="77777777" w:rsidR="009E4D77" w:rsidRPr="00B9107F" w:rsidRDefault="009E4D77" w:rsidP="009E4D77">
      <w:pPr>
        <w:pStyle w:val="Heading0"/>
        <w:numPr>
          <w:ilvl w:val="0"/>
          <w:numId w:val="0"/>
        </w:numPr>
        <w:spacing w:line="480" w:lineRule="auto"/>
        <w:rPr>
          <w:rFonts w:ascii="Times New Roman" w:hAnsi="Times New Roman"/>
          <w:szCs w:val="24"/>
        </w:rPr>
      </w:pPr>
      <w:bookmarkStart w:id="0" w:name="_Toc193194779"/>
      <w:r w:rsidRPr="00B9107F">
        <w:rPr>
          <w:rFonts w:ascii="Times New Roman" w:hAnsi="Times New Roman"/>
          <w:szCs w:val="24"/>
        </w:rPr>
        <w:t>FIGURES</w:t>
      </w:r>
      <w:bookmarkEnd w:id="0"/>
    </w:p>
    <w:p w14:paraId="056B7142" w14:textId="2CDF03EE" w:rsidR="009E4D77" w:rsidRPr="00B9107F" w:rsidRDefault="009E4D77" w:rsidP="009E4D77">
      <w:pPr>
        <w:pStyle w:val="FigureCaption"/>
        <w:rPr>
          <w:rFonts w:cs="Times New Roman"/>
          <w:b/>
          <w:bCs/>
          <w:i/>
          <w:iCs/>
          <w:szCs w:val="24"/>
          <w:lang w:val="en-US"/>
        </w:rPr>
      </w:pPr>
      <w:r w:rsidRPr="00B9107F">
        <w:rPr>
          <w:rFonts w:cs="Times New Roman"/>
          <w:b/>
          <w:bCs/>
          <w:szCs w:val="24"/>
          <w:lang w:val="en-US"/>
        </w:rPr>
        <w:t>Supplementary Fig</w:t>
      </w:r>
      <w:r w:rsidR="001A3E4E" w:rsidRPr="00B9107F">
        <w:rPr>
          <w:rFonts w:cs="Times New Roman"/>
          <w:b/>
          <w:bCs/>
          <w:szCs w:val="24"/>
          <w:lang w:val="en-US"/>
        </w:rPr>
        <w:t>ure</w:t>
      </w:r>
      <w:r w:rsidRPr="00B9107F">
        <w:rPr>
          <w:rFonts w:cs="Times New Roman"/>
          <w:b/>
          <w:bCs/>
          <w:szCs w:val="24"/>
          <w:lang w:val="en-US"/>
        </w:rPr>
        <w:t xml:space="preserve"> 1. Cumulative incidence of other comorbidities among fatigue cohorts.</w:t>
      </w:r>
    </w:p>
    <w:p w14:paraId="05E4B012" w14:textId="77777777" w:rsidR="009E4D77" w:rsidRPr="00B9107F" w:rsidRDefault="009E4D77" w:rsidP="009E4D77">
      <w:pPr>
        <w:pStyle w:val="BodyText12"/>
        <w:numPr>
          <w:ilvl w:val="0"/>
          <w:numId w:val="13"/>
        </w:numPr>
        <w:spacing w:line="480" w:lineRule="auto"/>
        <w:rPr>
          <w:b/>
          <w:bCs/>
          <w:sz w:val="20"/>
        </w:rPr>
      </w:pPr>
      <w:r w:rsidRPr="00B9107F">
        <w:rPr>
          <w:b/>
          <w:bCs/>
          <w:sz w:val="20"/>
        </w:rPr>
        <w:t xml:space="preserve"> Autoimmune thyroid</w:t>
      </w:r>
    </w:p>
    <w:p w14:paraId="314353C5" w14:textId="77777777" w:rsidR="009E4D77" w:rsidRPr="00B9107F" w:rsidRDefault="009E4D77" w:rsidP="009E4D77">
      <w:pPr>
        <w:pStyle w:val="BodyText12"/>
        <w:spacing w:after="0" w:line="480" w:lineRule="auto"/>
        <w:rPr>
          <w:b/>
          <w:bCs/>
          <w:sz w:val="20"/>
        </w:rPr>
      </w:pPr>
      <w:r w:rsidRPr="00B9107F">
        <w:rPr>
          <w:b/>
          <w:bCs/>
          <w:noProof/>
          <w:sz w:val="20"/>
        </w:rPr>
        <w:drawing>
          <wp:inline distT="0" distB="0" distL="0" distR="0" wp14:anchorId="42CFB301" wp14:editId="1B7B362E">
            <wp:extent cx="6465433" cy="3143625"/>
            <wp:effectExtent l="0" t="0" r="0" b="6350"/>
            <wp:docPr id="83844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4433" name="Picture 1"/>
                    <pic:cNvPicPr/>
                  </pic:nvPicPr>
                  <pic:blipFill>
                    <a:blip r:embed="rId11"/>
                    <a:stretch>
                      <a:fillRect/>
                    </a:stretch>
                  </pic:blipFill>
                  <pic:spPr>
                    <a:xfrm>
                      <a:off x="0" y="0"/>
                      <a:ext cx="6465433" cy="3143625"/>
                    </a:xfrm>
                    <a:prstGeom prst="rect">
                      <a:avLst/>
                    </a:prstGeom>
                  </pic:spPr>
                </pic:pic>
              </a:graphicData>
            </a:graphic>
          </wp:inline>
        </w:drawing>
      </w:r>
    </w:p>
    <w:p w14:paraId="7EF16D00" w14:textId="77777777" w:rsidR="009E4D77" w:rsidRPr="00B9107F" w:rsidRDefault="009E4D77" w:rsidP="009E4D77">
      <w:pPr>
        <w:pStyle w:val="BodyText12"/>
        <w:spacing w:after="0" w:line="480" w:lineRule="auto"/>
        <w:rPr>
          <w:b/>
          <w:bCs/>
          <w:sz w:val="20"/>
        </w:rPr>
      </w:pPr>
      <w:r w:rsidRPr="00B9107F">
        <w:rPr>
          <w:sz w:val="20"/>
        </w:rPr>
        <w:t>Proportion (shown as a percentage) of patients with autoimmune thyroid over time (blue line represents case cohort and black line is control cohort). Level of significance: log-rank p-value &lt;0.001.</w:t>
      </w:r>
    </w:p>
    <w:p w14:paraId="0EEFA14C" w14:textId="278A6355" w:rsidR="009E4D77" w:rsidRPr="00B9107F" w:rsidRDefault="009F34A2" w:rsidP="00DE6739">
      <w:pPr>
        <w:pStyle w:val="BodyText12"/>
        <w:keepNext/>
        <w:numPr>
          <w:ilvl w:val="0"/>
          <w:numId w:val="13"/>
        </w:numPr>
        <w:spacing w:before="240" w:line="480" w:lineRule="auto"/>
        <w:rPr>
          <w:b/>
          <w:bCs/>
          <w:noProof/>
          <w:sz w:val="20"/>
        </w:rPr>
      </w:pPr>
      <w:r w:rsidRPr="00B9107F">
        <w:rPr>
          <w:b/>
          <w:bCs/>
          <w:sz w:val="20"/>
          <w:lang w:val="fr-FR"/>
        </w:rPr>
        <w:lastRenderedPageBreak/>
        <w:t xml:space="preserve">Sjögren’s </w:t>
      </w:r>
      <w:proofErr w:type="spellStart"/>
      <w:r w:rsidRPr="00B9107F">
        <w:rPr>
          <w:b/>
          <w:bCs/>
          <w:sz w:val="20"/>
          <w:lang w:val="fr-FR"/>
        </w:rPr>
        <w:t>disease</w:t>
      </w:r>
      <w:proofErr w:type="spellEnd"/>
    </w:p>
    <w:p w14:paraId="1A0BA3AC" w14:textId="77777777" w:rsidR="009E4D77" w:rsidRPr="00B9107F" w:rsidRDefault="009E4D77" w:rsidP="009E4D77">
      <w:pPr>
        <w:pStyle w:val="BodyText12"/>
        <w:spacing w:line="480" w:lineRule="auto"/>
        <w:rPr>
          <w:sz w:val="20"/>
        </w:rPr>
      </w:pPr>
      <w:r w:rsidRPr="00B9107F">
        <w:rPr>
          <w:b/>
          <w:bCs/>
          <w:noProof/>
          <w:sz w:val="20"/>
        </w:rPr>
        <w:drawing>
          <wp:inline distT="0" distB="0" distL="0" distR="0" wp14:anchorId="36D71E40" wp14:editId="3A95E4E0">
            <wp:extent cx="6390978" cy="3113229"/>
            <wp:effectExtent l="0" t="0" r="0" b="0"/>
            <wp:docPr id="18010327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032727" name="Picture 2"/>
                    <pic:cNvPicPr/>
                  </pic:nvPicPr>
                  <pic:blipFill>
                    <a:blip r:embed="rId12"/>
                    <a:stretch>
                      <a:fillRect/>
                    </a:stretch>
                  </pic:blipFill>
                  <pic:spPr>
                    <a:xfrm>
                      <a:off x="0" y="0"/>
                      <a:ext cx="6390978" cy="3113229"/>
                    </a:xfrm>
                    <a:prstGeom prst="rect">
                      <a:avLst/>
                    </a:prstGeom>
                  </pic:spPr>
                </pic:pic>
              </a:graphicData>
            </a:graphic>
          </wp:inline>
        </w:drawing>
      </w:r>
    </w:p>
    <w:p w14:paraId="4B92C6C4" w14:textId="4DFBDCA0" w:rsidR="009E4D77" w:rsidRPr="00B9107F" w:rsidRDefault="009E4D77" w:rsidP="009E4D77">
      <w:pPr>
        <w:pStyle w:val="BodyText12"/>
        <w:spacing w:line="480" w:lineRule="auto"/>
        <w:rPr>
          <w:sz w:val="20"/>
        </w:rPr>
      </w:pPr>
      <w:r w:rsidRPr="00B9107F">
        <w:rPr>
          <w:sz w:val="20"/>
        </w:rPr>
        <w:t xml:space="preserve">Proportion (shown as a percentage) of patients with </w:t>
      </w:r>
      <w:r w:rsidR="009F34A2" w:rsidRPr="00B9107F">
        <w:rPr>
          <w:sz w:val="20"/>
        </w:rPr>
        <w:t>Sjögren’s disease</w:t>
      </w:r>
      <w:r w:rsidRPr="00B9107F">
        <w:rPr>
          <w:sz w:val="20"/>
        </w:rPr>
        <w:t xml:space="preserve"> over time (blue line represents case cohort and black line is control cohort). Level of significance: log-rank p-value &lt;0.001.</w:t>
      </w:r>
    </w:p>
    <w:p w14:paraId="58E01967" w14:textId="524BCFB3" w:rsidR="009E4D77" w:rsidRPr="00B9107F" w:rsidRDefault="009E4D77" w:rsidP="009E4D77">
      <w:pPr>
        <w:pStyle w:val="BodyText12"/>
        <w:numPr>
          <w:ilvl w:val="0"/>
          <w:numId w:val="13"/>
        </w:numPr>
        <w:spacing w:line="480" w:lineRule="auto"/>
        <w:rPr>
          <w:b/>
          <w:bCs/>
          <w:sz w:val="20"/>
        </w:rPr>
      </w:pPr>
      <w:r w:rsidRPr="00B9107F">
        <w:rPr>
          <w:b/>
          <w:bCs/>
          <w:sz w:val="20"/>
        </w:rPr>
        <w:t xml:space="preserve"> </w:t>
      </w:r>
      <w:r w:rsidR="009D0E0F" w:rsidRPr="00B9107F">
        <w:rPr>
          <w:b/>
          <w:bCs/>
          <w:sz w:val="20"/>
        </w:rPr>
        <w:t>Raynaud’s</w:t>
      </w:r>
      <w:r w:rsidRPr="00B9107F">
        <w:rPr>
          <w:b/>
          <w:bCs/>
          <w:sz w:val="20"/>
        </w:rPr>
        <w:t xml:space="preserve"> syndrome</w:t>
      </w:r>
    </w:p>
    <w:p w14:paraId="283B7A35" w14:textId="77777777" w:rsidR="009E4D77" w:rsidRPr="00B9107F" w:rsidRDefault="009E4D77" w:rsidP="009E4D77">
      <w:pPr>
        <w:pStyle w:val="BodyText12"/>
        <w:spacing w:line="480" w:lineRule="auto"/>
        <w:rPr>
          <w:sz w:val="20"/>
        </w:rPr>
      </w:pPr>
      <w:r w:rsidRPr="00B9107F">
        <w:rPr>
          <w:b/>
          <w:bCs/>
          <w:noProof/>
          <w:sz w:val="20"/>
        </w:rPr>
        <w:drawing>
          <wp:inline distT="0" distB="0" distL="0" distR="0" wp14:anchorId="0A7F8E38" wp14:editId="1FAC7DF0">
            <wp:extent cx="6390978" cy="3113229"/>
            <wp:effectExtent l="0" t="0" r="0" b="0"/>
            <wp:docPr id="349637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37944" name="Picture 3"/>
                    <pic:cNvPicPr/>
                  </pic:nvPicPr>
                  <pic:blipFill>
                    <a:blip r:embed="rId13"/>
                    <a:stretch>
                      <a:fillRect/>
                    </a:stretch>
                  </pic:blipFill>
                  <pic:spPr>
                    <a:xfrm>
                      <a:off x="0" y="0"/>
                      <a:ext cx="6390978" cy="3113229"/>
                    </a:xfrm>
                    <a:prstGeom prst="rect">
                      <a:avLst/>
                    </a:prstGeom>
                  </pic:spPr>
                </pic:pic>
              </a:graphicData>
            </a:graphic>
          </wp:inline>
        </w:drawing>
      </w:r>
    </w:p>
    <w:p w14:paraId="0CCC0B6A" w14:textId="416BF43F" w:rsidR="009E4D77" w:rsidRPr="00B9107F" w:rsidRDefault="009E4D77" w:rsidP="009E4D77">
      <w:pPr>
        <w:pStyle w:val="BodyText12"/>
        <w:spacing w:line="480" w:lineRule="auto"/>
        <w:rPr>
          <w:sz w:val="20"/>
        </w:rPr>
      </w:pPr>
      <w:r w:rsidRPr="00B9107F">
        <w:rPr>
          <w:sz w:val="20"/>
        </w:rPr>
        <w:lastRenderedPageBreak/>
        <w:t xml:space="preserve">Proportion (shown as a percentage) of patients with </w:t>
      </w:r>
      <w:r w:rsidR="009D0E0F" w:rsidRPr="00B9107F">
        <w:rPr>
          <w:sz w:val="20"/>
        </w:rPr>
        <w:t>Raynaud’s</w:t>
      </w:r>
      <w:r w:rsidRPr="00B9107F">
        <w:rPr>
          <w:sz w:val="20"/>
        </w:rPr>
        <w:t xml:space="preserve"> syndrome over time (blue line represents case cohort and black line is control cohort). Level of significance: log-rank p-value &lt;0.01.</w:t>
      </w:r>
    </w:p>
    <w:p w14:paraId="0ADE91EA" w14:textId="77777777" w:rsidR="009E4D77" w:rsidRPr="00B9107F" w:rsidRDefault="009E4D77" w:rsidP="009E4D77">
      <w:pPr>
        <w:pStyle w:val="BodyText12"/>
        <w:numPr>
          <w:ilvl w:val="0"/>
          <w:numId w:val="13"/>
        </w:numPr>
        <w:spacing w:before="240" w:line="480" w:lineRule="auto"/>
        <w:rPr>
          <w:b/>
          <w:bCs/>
          <w:sz w:val="20"/>
        </w:rPr>
      </w:pPr>
      <w:r w:rsidRPr="00B9107F">
        <w:rPr>
          <w:b/>
          <w:bCs/>
          <w:sz w:val="20"/>
        </w:rPr>
        <w:t xml:space="preserve"> Systemic lupus erythematosus</w:t>
      </w:r>
    </w:p>
    <w:p w14:paraId="17907E86" w14:textId="77777777" w:rsidR="009E4D77" w:rsidRPr="00B9107F" w:rsidRDefault="009E4D77" w:rsidP="009E4D77">
      <w:pPr>
        <w:pStyle w:val="BodyText12"/>
        <w:spacing w:line="480" w:lineRule="auto"/>
        <w:rPr>
          <w:sz w:val="20"/>
        </w:rPr>
      </w:pPr>
      <w:r w:rsidRPr="00B9107F">
        <w:rPr>
          <w:b/>
          <w:bCs/>
          <w:noProof/>
          <w:sz w:val="20"/>
        </w:rPr>
        <w:drawing>
          <wp:inline distT="0" distB="0" distL="0" distR="0" wp14:anchorId="6F5EA168" wp14:editId="1C630772">
            <wp:extent cx="6400800" cy="3243862"/>
            <wp:effectExtent l="0" t="0" r="0" b="0"/>
            <wp:docPr id="1682375723" name="Picture 4" descr="A graph on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75723" name="Picture 4" descr="A graph on a white sheet&#10;&#10;AI-generated content may be incorrect."/>
                    <pic:cNvPicPr/>
                  </pic:nvPicPr>
                  <pic:blipFill>
                    <a:blip r:embed="rId14"/>
                    <a:stretch>
                      <a:fillRect/>
                    </a:stretch>
                  </pic:blipFill>
                  <pic:spPr>
                    <a:xfrm>
                      <a:off x="0" y="0"/>
                      <a:ext cx="6400800" cy="3243862"/>
                    </a:xfrm>
                    <a:prstGeom prst="rect">
                      <a:avLst/>
                    </a:prstGeom>
                  </pic:spPr>
                </pic:pic>
              </a:graphicData>
            </a:graphic>
          </wp:inline>
        </w:drawing>
      </w:r>
    </w:p>
    <w:p w14:paraId="1D529D38" w14:textId="77777777" w:rsidR="009E4D77" w:rsidRPr="00B9107F" w:rsidRDefault="009E4D77" w:rsidP="009E4D77">
      <w:pPr>
        <w:pStyle w:val="BodyText12"/>
        <w:spacing w:line="480" w:lineRule="auto"/>
        <w:rPr>
          <w:sz w:val="20"/>
        </w:rPr>
      </w:pPr>
      <w:r w:rsidRPr="00B9107F">
        <w:rPr>
          <w:sz w:val="20"/>
        </w:rPr>
        <w:t>Proportion (shown as a percentage) of patients with systemic lupus erythematosus over time (blue line represents case cohort and black line is control cohort). Level of significance: log-rank p-value &lt;0.001.</w:t>
      </w:r>
    </w:p>
    <w:p w14:paraId="05662C36" w14:textId="77777777" w:rsidR="009E4D77" w:rsidRPr="00B9107F" w:rsidRDefault="009E4D77" w:rsidP="00DE6739">
      <w:pPr>
        <w:pStyle w:val="BodyText12"/>
        <w:keepNext/>
        <w:numPr>
          <w:ilvl w:val="0"/>
          <w:numId w:val="13"/>
        </w:numPr>
        <w:spacing w:line="480" w:lineRule="auto"/>
        <w:rPr>
          <w:b/>
          <w:bCs/>
          <w:sz w:val="20"/>
        </w:rPr>
      </w:pPr>
      <w:r w:rsidRPr="00B9107F">
        <w:rPr>
          <w:b/>
          <w:bCs/>
          <w:sz w:val="20"/>
        </w:rPr>
        <w:lastRenderedPageBreak/>
        <w:t xml:space="preserve"> Rheumatoid arthritis</w:t>
      </w:r>
    </w:p>
    <w:p w14:paraId="3BBAD64E" w14:textId="77777777" w:rsidR="009E4D77" w:rsidRPr="00B9107F" w:rsidRDefault="009E4D77" w:rsidP="009E4D77">
      <w:pPr>
        <w:pStyle w:val="BodyText12"/>
        <w:spacing w:line="480" w:lineRule="auto"/>
        <w:rPr>
          <w:sz w:val="20"/>
        </w:rPr>
      </w:pPr>
      <w:r w:rsidRPr="00B9107F">
        <w:rPr>
          <w:b/>
          <w:bCs/>
          <w:noProof/>
          <w:sz w:val="20"/>
        </w:rPr>
        <w:drawing>
          <wp:inline distT="0" distB="0" distL="0" distR="0" wp14:anchorId="1E217336" wp14:editId="044DAD72">
            <wp:extent cx="6400800" cy="3113229"/>
            <wp:effectExtent l="0" t="0" r="0" b="0"/>
            <wp:docPr id="2279708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70864" name="Picture 5"/>
                    <pic:cNvPicPr/>
                  </pic:nvPicPr>
                  <pic:blipFill>
                    <a:blip r:embed="rId15"/>
                    <a:stretch>
                      <a:fillRect/>
                    </a:stretch>
                  </pic:blipFill>
                  <pic:spPr>
                    <a:xfrm>
                      <a:off x="0" y="0"/>
                      <a:ext cx="6400800" cy="3113229"/>
                    </a:xfrm>
                    <a:prstGeom prst="rect">
                      <a:avLst/>
                    </a:prstGeom>
                  </pic:spPr>
                </pic:pic>
              </a:graphicData>
            </a:graphic>
          </wp:inline>
        </w:drawing>
      </w:r>
    </w:p>
    <w:p w14:paraId="09BC3B24" w14:textId="77777777" w:rsidR="009E4D77" w:rsidRPr="00B9107F" w:rsidRDefault="009E4D77" w:rsidP="009E4D77">
      <w:pPr>
        <w:pStyle w:val="BodyText12"/>
        <w:spacing w:line="480" w:lineRule="auto"/>
        <w:rPr>
          <w:sz w:val="20"/>
        </w:rPr>
      </w:pPr>
      <w:r w:rsidRPr="00B9107F">
        <w:rPr>
          <w:sz w:val="20"/>
        </w:rPr>
        <w:t>Proportion (shown as a percentage) of patients with rheumatoid arthritis over time (blue line represents case cohort and black line is control cohort). Level of significance: log-rank p-value &lt;0.001.</w:t>
      </w:r>
    </w:p>
    <w:p w14:paraId="15358E86" w14:textId="77777777" w:rsidR="009E4D77" w:rsidRPr="00B9107F" w:rsidRDefault="009E4D77" w:rsidP="00DE6739">
      <w:pPr>
        <w:pStyle w:val="BodyText12"/>
        <w:keepNext/>
        <w:numPr>
          <w:ilvl w:val="0"/>
          <w:numId w:val="13"/>
        </w:numPr>
        <w:spacing w:before="240" w:line="480" w:lineRule="auto"/>
        <w:jc w:val="left"/>
        <w:rPr>
          <w:b/>
          <w:bCs/>
          <w:sz w:val="20"/>
        </w:rPr>
      </w:pPr>
      <w:r w:rsidRPr="00B9107F">
        <w:rPr>
          <w:b/>
          <w:bCs/>
          <w:sz w:val="20"/>
        </w:rPr>
        <w:lastRenderedPageBreak/>
        <w:t xml:space="preserve"> Cognitive impairment</w:t>
      </w:r>
    </w:p>
    <w:p w14:paraId="42A9783B" w14:textId="77777777" w:rsidR="009E4D77" w:rsidRPr="00B9107F" w:rsidRDefault="009E4D77" w:rsidP="009E4D77">
      <w:pPr>
        <w:pStyle w:val="BodyText12"/>
        <w:spacing w:line="480" w:lineRule="auto"/>
        <w:jc w:val="left"/>
        <w:rPr>
          <w:bCs/>
          <w:sz w:val="20"/>
        </w:rPr>
      </w:pPr>
      <w:r w:rsidRPr="00B9107F">
        <w:rPr>
          <w:b/>
          <w:bCs/>
          <w:noProof/>
          <w:sz w:val="20"/>
        </w:rPr>
        <w:drawing>
          <wp:inline distT="0" distB="0" distL="0" distR="0" wp14:anchorId="3303A530" wp14:editId="2DE4F3D0">
            <wp:extent cx="6400800" cy="3243862"/>
            <wp:effectExtent l="0" t="0" r="0" b="0"/>
            <wp:docPr id="1602378648" name="Picture 6" descr="A graph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78648" name="Picture 6" descr="A graph on a white background&#10;&#10;AI-generated content may be incorrect."/>
                    <pic:cNvPicPr/>
                  </pic:nvPicPr>
                  <pic:blipFill>
                    <a:blip r:embed="rId16"/>
                    <a:stretch>
                      <a:fillRect/>
                    </a:stretch>
                  </pic:blipFill>
                  <pic:spPr>
                    <a:xfrm>
                      <a:off x="0" y="0"/>
                      <a:ext cx="6400800" cy="3243862"/>
                    </a:xfrm>
                    <a:prstGeom prst="rect">
                      <a:avLst/>
                    </a:prstGeom>
                  </pic:spPr>
                </pic:pic>
              </a:graphicData>
            </a:graphic>
          </wp:inline>
        </w:drawing>
      </w:r>
    </w:p>
    <w:p w14:paraId="7A764932" w14:textId="77777777" w:rsidR="009E4D77" w:rsidRPr="00B9107F" w:rsidRDefault="009E4D77" w:rsidP="009E4D77">
      <w:pPr>
        <w:pStyle w:val="BodyText12"/>
        <w:spacing w:line="480" w:lineRule="auto"/>
        <w:jc w:val="left"/>
        <w:rPr>
          <w:bCs/>
          <w:sz w:val="20"/>
        </w:rPr>
      </w:pPr>
      <w:r w:rsidRPr="00B9107F">
        <w:rPr>
          <w:sz w:val="20"/>
        </w:rPr>
        <w:t>Proportion (shown as a percentage) of patients with cognitive impairment over time (blue line represents case cohort and black line is control cohort). Level of significance: log-rank p-value &lt;0.001.</w:t>
      </w:r>
    </w:p>
    <w:p w14:paraId="4D23E9A2" w14:textId="513D4216" w:rsidR="009E4D77" w:rsidRPr="00B9107F" w:rsidRDefault="009E4D77" w:rsidP="009E4D77">
      <w:pPr>
        <w:pStyle w:val="00Paragraph"/>
        <w:spacing w:line="480" w:lineRule="auto"/>
        <w:rPr>
          <w:sz w:val="24"/>
          <w:szCs w:val="24"/>
        </w:rPr>
      </w:pPr>
      <w:r w:rsidRPr="00B9107F">
        <w:rPr>
          <w:b/>
          <w:sz w:val="20"/>
        </w:rPr>
        <w:t>Abbreviations</w:t>
      </w:r>
      <w:r w:rsidRPr="00B9107F">
        <w:rPr>
          <w:sz w:val="20"/>
        </w:rPr>
        <w:t xml:space="preserve">: </w:t>
      </w:r>
      <w:r w:rsidR="00D2510A" w:rsidRPr="00B9107F">
        <w:rPr>
          <w:sz w:val="20"/>
        </w:rPr>
        <w:t xml:space="preserve">CI, Confidence interval; </w:t>
      </w:r>
      <w:r w:rsidRPr="00B9107F">
        <w:rPr>
          <w:sz w:val="20"/>
        </w:rPr>
        <w:t xml:space="preserve">HR, </w:t>
      </w:r>
      <w:r w:rsidR="00D2510A" w:rsidRPr="00B9107F">
        <w:rPr>
          <w:sz w:val="20"/>
        </w:rPr>
        <w:t>H</w:t>
      </w:r>
      <w:r w:rsidRPr="00B9107F">
        <w:rPr>
          <w:sz w:val="20"/>
        </w:rPr>
        <w:t xml:space="preserve">azard ratio; IQR, </w:t>
      </w:r>
      <w:r w:rsidR="00D2510A" w:rsidRPr="00B9107F">
        <w:rPr>
          <w:sz w:val="20"/>
        </w:rPr>
        <w:t>I</w:t>
      </w:r>
      <w:r w:rsidRPr="00B9107F">
        <w:rPr>
          <w:sz w:val="20"/>
        </w:rPr>
        <w:t xml:space="preserve">nterquartile range; SD, </w:t>
      </w:r>
      <w:r w:rsidR="00D2510A" w:rsidRPr="00B9107F">
        <w:rPr>
          <w:sz w:val="20"/>
        </w:rPr>
        <w:t>S</w:t>
      </w:r>
      <w:r w:rsidRPr="00B9107F">
        <w:rPr>
          <w:sz w:val="20"/>
        </w:rPr>
        <w:t>tandard deviation.</w:t>
      </w:r>
      <w:r w:rsidRPr="00B9107F">
        <w:rPr>
          <w:sz w:val="24"/>
          <w:szCs w:val="24"/>
        </w:rPr>
        <w:br w:type="page"/>
      </w:r>
    </w:p>
    <w:p w14:paraId="75C6DD5D" w14:textId="1A2C5415" w:rsidR="009E4D77" w:rsidRPr="00B9107F" w:rsidRDefault="009E4D77" w:rsidP="009E4D77">
      <w:pPr>
        <w:pStyle w:val="FigureCaption"/>
        <w:rPr>
          <w:rFonts w:cs="Times New Roman"/>
          <w:b/>
          <w:bCs/>
          <w:i/>
          <w:iCs/>
          <w:szCs w:val="24"/>
          <w:lang w:val="en-US"/>
        </w:rPr>
      </w:pPr>
      <w:r w:rsidRPr="00B9107F">
        <w:rPr>
          <w:rFonts w:cs="Times New Roman"/>
          <w:b/>
          <w:bCs/>
          <w:szCs w:val="24"/>
          <w:lang w:val="en-US"/>
        </w:rPr>
        <w:lastRenderedPageBreak/>
        <w:t>Supplementa</w:t>
      </w:r>
      <w:r w:rsidR="001A3E4E" w:rsidRPr="00B9107F">
        <w:rPr>
          <w:rFonts w:cs="Times New Roman"/>
          <w:b/>
          <w:bCs/>
          <w:szCs w:val="24"/>
          <w:lang w:val="en-US"/>
        </w:rPr>
        <w:t>ry</w:t>
      </w:r>
      <w:r w:rsidRPr="00B9107F">
        <w:rPr>
          <w:rFonts w:cs="Times New Roman"/>
          <w:b/>
          <w:bCs/>
          <w:szCs w:val="24"/>
          <w:lang w:val="en-US"/>
        </w:rPr>
        <w:t xml:space="preserve"> Fig</w:t>
      </w:r>
      <w:r w:rsidR="001A3E4E" w:rsidRPr="00B9107F">
        <w:rPr>
          <w:rFonts w:cs="Times New Roman"/>
          <w:b/>
          <w:bCs/>
          <w:szCs w:val="24"/>
          <w:lang w:val="en-US"/>
        </w:rPr>
        <w:t xml:space="preserve">ure </w:t>
      </w:r>
      <w:r w:rsidRPr="00B9107F">
        <w:rPr>
          <w:rFonts w:cs="Times New Roman"/>
          <w:b/>
          <w:bCs/>
          <w:szCs w:val="24"/>
          <w:lang w:val="en-US"/>
        </w:rPr>
        <w:t>2. Cumulative incidence of other comorbidities among pruritus cohorts.</w:t>
      </w:r>
    </w:p>
    <w:p w14:paraId="6927401A" w14:textId="77777777" w:rsidR="009E4D77" w:rsidRPr="00B9107F" w:rsidRDefault="009E4D77" w:rsidP="009E4D77">
      <w:pPr>
        <w:pStyle w:val="BodyText12"/>
        <w:numPr>
          <w:ilvl w:val="0"/>
          <w:numId w:val="14"/>
        </w:numPr>
        <w:spacing w:line="480" w:lineRule="auto"/>
        <w:rPr>
          <w:b/>
          <w:bCs/>
          <w:sz w:val="20"/>
          <w:lang w:val="fr-FR"/>
        </w:rPr>
      </w:pPr>
      <w:r w:rsidRPr="00B9107F">
        <w:rPr>
          <w:b/>
          <w:bCs/>
          <w:szCs w:val="24"/>
        </w:rPr>
        <w:t xml:space="preserve"> </w:t>
      </w:r>
      <w:proofErr w:type="spellStart"/>
      <w:r w:rsidRPr="00B9107F">
        <w:rPr>
          <w:b/>
          <w:bCs/>
          <w:sz w:val="20"/>
          <w:lang w:val="fr-FR"/>
        </w:rPr>
        <w:t>Autoimmune</w:t>
      </w:r>
      <w:proofErr w:type="spellEnd"/>
      <w:r w:rsidRPr="00B9107F">
        <w:rPr>
          <w:b/>
          <w:bCs/>
          <w:sz w:val="20"/>
          <w:lang w:val="fr-FR"/>
        </w:rPr>
        <w:t xml:space="preserve"> </w:t>
      </w:r>
      <w:proofErr w:type="spellStart"/>
      <w:r w:rsidRPr="00B9107F">
        <w:rPr>
          <w:b/>
          <w:bCs/>
          <w:sz w:val="20"/>
          <w:lang w:val="fr-FR"/>
        </w:rPr>
        <w:t>thyroid</w:t>
      </w:r>
      <w:proofErr w:type="spellEnd"/>
    </w:p>
    <w:p w14:paraId="21D32773" w14:textId="77777777" w:rsidR="009E4D77" w:rsidRPr="00B9107F" w:rsidRDefault="009E4D77" w:rsidP="009E4D77">
      <w:pPr>
        <w:pStyle w:val="BodyText12"/>
        <w:spacing w:line="480" w:lineRule="auto"/>
        <w:rPr>
          <w:sz w:val="20"/>
        </w:rPr>
      </w:pPr>
      <w:r w:rsidRPr="00B9107F">
        <w:rPr>
          <w:b/>
          <w:bCs/>
          <w:noProof/>
          <w:sz w:val="20"/>
          <w:lang w:val="fr-FR"/>
        </w:rPr>
        <w:drawing>
          <wp:inline distT="0" distB="0" distL="0" distR="0" wp14:anchorId="436A3014" wp14:editId="5BC34DF9">
            <wp:extent cx="6400800" cy="3113229"/>
            <wp:effectExtent l="0" t="0" r="0" b="0"/>
            <wp:docPr id="10505321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32184" name="Picture 7"/>
                    <pic:cNvPicPr/>
                  </pic:nvPicPr>
                  <pic:blipFill>
                    <a:blip r:embed="rId17"/>
                    <a:stretch>
                      <a:fillRect/>
                    </a:stretch>
                  </pic:blipFill>
                  <pic:spPr>
                    <a:xfrm>
                      <a:off x="0" y="0"/>
                      <a:ext cx="6400800" cy="3113229"/>
                    </a:xfrm>
                    <a:prstGeom prst="rect">
                      <a:avLst/>
                    </a:prstGeom>
                  </pic:spPr>
                </pic:pic>
              </a:graphicData>
            </a:graphic>
          </wp:inline>
        </w:drawing>
      </w:r>
    </w:p>
    <w:p w14:paraId="3C9D1FE0" w14:textId="77777777" w:rsidR="009E4D77" w:rsidRPr="00B9107F" w:rsidRDefault="009E4D77" w:rsidP="009E4D77">
      <w:pPr>
        <w:pStyle w:val="BodyText12"/>
        <w:spacing w:line="480" w:lineRule="auto"/>
        <w:rPr>
          <w:sz w:val="20"/>
        </w:rPr>
      </w:pPr>
      <w:r w:rsidRPr="00B9107F">
        <w:rPr>
          <w:sz w:val="20"/>
        </w:rPr>
        <w:t>Proportion (shown as a percentage) of patients with autoimmune thyroid over time (blue line represents case cohort and black line is control cohort). Level of significance: log-rank p-value &lt;0.01.</w:t>
      </w:r>
    </w:p>
    <w:p w14:paraId="72DC9795" w14:textId="30A8080D" w:rsidR="009E4D77" w:rsidRPr="00B9107F" w:rsidRDefault="009E4D77" w:rsidP="00DE6739">
      <w:pPr>
        <w:pStyle w:val="BodyText12"/>
        <w:keepNext/>
        <w:numPr>
          <w:ilvl w:val="0"/>
          <w:numId w:val="14"/>
        </w:numPr>
        <w:spacing w:before="240" w:line="480" w:lineRule="auto"/>
        <w:rPr>
          <w:b/>
          <w:bCs/>
          <w:sz w:val="20"/>
          <w:lang w:val="fr-FR"/>
        </w:rPr>
      </w:pPr>
      <w:r w:rsidRPr="00B9107F">
        <w:rPr>
          <w:b/>
          <w:bCs/>
          <w:sz w:val="20"/>
          <w:lang w:val="fr-FR"/>
        </w:rPr>
        <w:lastRenderedPageBreak/>
        <w:t xml:space="preserve"> </w:t>
      </w:r>
      <w:r w:rsidR="009D0E0F" w:rsidRPr="00B9107F">
        <w:rPr>
          <w:b/>
          <w:bCs/>
          <w:sz w:val="20"/>
          <w:lang w:val="fr-FR"/>
        </w:rPr>
        <w:t>Sjögren’s</w:t>
      </w:r>
      <w:r w:rsidRPr="00B9107F">
        <w:rPr>
          <w:b/>
          <w:bCs/>
          <w:sz w:val="20"/>
          <w:lang w:val="fr-FR"/>
        </w:rPr>
        <w:t xml:space="preserve"> </w:t>
      </w:r>
      <w:proofErr w:type="spellStart"/>
      <w:r w:rsidR="009F34A2" w:rsidRPr="00B9107F">
        <w:rPr>
          <w:b/>
          <w:bCs/>
          <w:sz w:val="20"/>
          <w:lang w:val="fr-FR"/>
        </w:rPr>
        <w:t>disease</w:t>
      </w:r>
      <w:proofErr w:type="spellEnd"/>
    </w:p>
    <w:p w14:paraId="13B02CB6" w14:textId="77777777" w:rsidR="009E4D77" w:rsidRPr="00B9107F" w:rsidRDefault="009E4D77" w:rsidP="009E4D77">
      <w:pPr>
        <w:pStyle w:val="BodyText12"/>
        <w:spacing w:line="480" w:lineRule="auto"/>
        <w:rPr>
          <w:b/>
          <w:bCs/>
          <w:sz w:val="20"/>
          <w:lang w:val="fr-FR"/>
        </w:rPr>
      </w:pPr>
      <w:r w:rsidRPr="00B9107F">
        <w:rPr>
          <w:b/>
          <w:bCs/>
          <w:noProof/>
          <w:sz w:val="20"/>
          <w:lang w:val="fr-FR"/>
        </w:rPr>
        <w:drawing>
          <wp:inline distT="0" distB="0" distL="0" distR="0" wp14:anchorId="6E933A12" wp14:editId="605FE23F">
            <wp:extent cx="6390978" cy="3113229"/>
            <wp:effectExtent l="0" t="0" r="0" b="0"/>
            <wp:docPr id="8397815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81548" name="Picture 8"/>
                    <pic:cNvPicPr/>
                  </pic:nvPicPr>
                  <pic:blipFill>
                    <a:blip r:embed="rId18"/>
                    <a:stretch>
                      <a:fillRect/>
                    </a:stretch>
                  </pic:blipFill>
                  <pic:spPr>
                    <a:xfrm>
                      <a:off x="0" y="0"/>
                      <a:ext cx="6390978" cy="3113229"/>
                    </a:xfrm>
                    <a:prstGeom prst="rect">
                      <a:avLst/>
                    </a:prstGeom>
                  </pic:spPr>
                </pic:pic>
              </a:graphicData>
            </a:graphic>
          </wp:inline>
        </w:drawing>
      </w:r>
    </w:p>
    <w:p w14:paraId="68B00613" w14:textId="7F782EBB" w:rsidR="009E4D77" w:rsidRPr="00B9107F" w:rsidRDefault="009E4D77" w:rsidP="009E4D77">
      <w:pPr>
        <w:pStyle w:val="BodyText12"/>
        <w:spacing w:line="480" w:lineRule="auto"/>
        <w:rPr>
          <w:sz w:val="20"/>
        </w:rPr>
      </w:pPr>
      <w:r w:rsidRPr="00B9107F">
        <w:rPr>
          <w:sz w:val="20"/>
        </w:rPr>
        <w:t xml:space="preserve">Proportion (shown as a percentage) of patients with </w:t>
      </w:r>
      <w:r w:rsidR="009D0E0F" w:rsidRPr="00B9107F">
        <w:rPr>
          <w:sz w:val="20"/>
        </w:rPr>
        <w:t>Sjögren’s</w:t>
      </w:r>
      <w:r w:rsidRPr="00B9107F">
        <w:rPr>
          <w:sz w:val="20"/>
        </w:rPr>
        <w:t xml:space="preserve"> </w:t>
      </w:r>
      <w:r w:rsidR="009F34A2" w:rsidRPr="00B9107F">
        <w:rPr>
          <w:sz w:val="20"/>
        </w:rPr>
        <w:t xml:space="preserve">disease </w:t>
      </w:r>
      <w:r w:rsidRPr="00B9107F">
        <w:rPr>
          <w:sz w:val="20"/>
        </w:rPr>
        <w:t>over time (blue line represents case cohort and black line is control cohort). Level of significance: log-rank p-value &lt;0.001.</w:t>
      </w:r>
    </w:p>
    <w:p w14:paraId="43E5FD70" w14:textId="300FE965" w:rsidR="009E4D77" w:rsidRPr="00B9107F" w:rsidRDefault="009E4D77" w:rsidP="00DE6739">
      <w:pPr>
        <w:pStyle w:val="BodyText12"/>
        <w:keepNext/>
        <w:numPr>
          <w:ilvl w:val="0"/>
          <w:numId w:val="14"/>
        </w:numPr>
        <w:spacing w:line="480" w:lineRule="auto"/>
        <w:rPr>
          <w:b/>
          <w:bCs/>
          <w:sz w:val="20"/>
          <w:lang w:val="fr-FR"/>
        </w:rPr>
      </w:pPr>
      <w:r w:rsidRPr="00B9107F">
        <w:rPr>
          <w:b/>
          <w:bCs/>
          <w:sz w:val="20"/>
        </w:rPr>
        <w:t xml:space="preserve"> </w:t>
      </w:r>
      <w:proofErr w:type="spellStart"/>
      <w:r w:rsidR="009D0E0F" w:rsidRPr="00B9107F">
        <w:rPr>
          <w:b/>
          <w:bCs/>
          <w:sz w:val="20"/>
          <w:lang w:val="fr-FR"/>
        </w:rPr>
        <w:t>Raynaud’s</w:t>
      </w:r>
      <w:proofErr w:type="spellEnd"/>
      <w:r w:rsidRPr="00B9107F">
        <w:rPr>
          <w:b/>
          <w:bCs/>
          <w:sz w:val="20"/>
          <w:lang w:val="fr-FR"/>
        </w:rPr>
        <w:t xml:space="preserve"> syndrome</w:t>
      </w:r>
    </w:p>
    <w:p w14:paraId="69389929" w14:textId="77777777" w:rsidR="009E4D77" w:rsidRPr="00B9107F" w:rsidRDefault="009E4D77" w:rsidP="009E4D77">
      <w:pPr>
        <w:pStyle w:val="BodyText12"/>
        <w:spacing w:line="480" w:lineRule="auto"/>
        <w:rPr>
          <w:sz w:val="20"/>
        </w:rPr>
      </w:pPr>
      <w:r w:rsidRPr="00B9107F">
        <w:rPr>
          <w:b/>
          <w:bCs/>
          <w:noProof/>
          <w:sz w:val="20"/>
          <w:lang w:val="fr-FR"/>
        </w:rPr>
        <w:drawing>
          <wp:inline distT="0" distB="0" distL="0" distR="0" wp14:anchorId="0DBC1E76" wp14:editId="38C399FB">
            <wp:extent cx="6391485" cy="3113476"/>
            <wp:effectExtent l="0" t="0" r="0" b="0"/>
            <wp:docPr id="12925384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538489" name="Picture 9"/>
                    <pic:cNvPicPr/>
                  </pic:nvPicPr>
                  <pic:blipFill>
                    <a:blip r:embed="rId19"/>
                    <a:stretch>
                      <a:fillRect/>
                    </a:stretch>
                  </pic:blipFill>
                  <pic:spPr>
                    <a:xfrm>
                      <a:off x="0" y="0"/>
                      <a:ext cx="6391485" cy="3113476"/>
                    </a:xfrm>
                    <a:prstGeom prst="rect">
                      <a:avLst/>
                    </a:prstGeom>
                  </pic:spPr>
                </pic:pic>
              </a:graphicData>
            </a:graphic>
          </wp:inline>
        </w:drawing>
      </w:r>
    </w:p>
    <w:p w14:paraId="3B58B42E" w14:textId="6DB555E5" w:rsidR="009E4D77" w:rsidRPr="00B9107F" w:rsidRDefault="009E4D77" w:rsidP="009E4D77">
      <w:pPr>
        <w:pStyle w:val="BodyText12"/>
        <w:spacing w:line="480" w:lineRule="auto"/>
        <w:rPr>
          <w:sz w:val="20"/>
        </w:rPr>
      </w:pPr>
      <w:r w:rsidRPr="00B9107F">
        <w:rPr>
          <w:sz w:val="20"/>
        </w:rPr>
        <w:lastRenderedPageBreak/>
        <w:t xml:space="preserve">Proportion (shown as a percentage) of patients with </w:t>
      </w:r>
      <w:r w:rsidR="009D0E0F" w:rsidRPr="00B9107F">
        <w:rPr>
          <w:sz w:val="20"/>
        </w:rPr>
        <w:t>Raynaud’s</w:t>
      </w:r>
      <w:r w:rsidRPr="00B9107F">
        <w:rPr>
          <w:sz w:val="20"/>
        </w:rPr>
        <w:t xml:space="preserve"> syndrome over time (blue line represents case cohort and black line is control cohort). Level of significance: log-rank p-value &lt;0.001.</w:t>
      </w:r>
    </w:p>
    <w:p w14:paraId="55050CF8" w14:textId="77777777" w:rsidR="009E4D77" w:rsidRPr="00B9107F" w:rsidRDefault="009E4D77" w:rsidP="00DE6739">
      <w:pPr>
        <w:pStyle w:val="BodyText12"/>
        <w:keepNext/>
        <w:numPr>
          <w:ilvl w:val="0"/>
          <w:numId w:val="14"/>
        </w:numPr>
        <w:spacing w:before="240" w:line="480" w:lineRule="auto"/>
        <w:rPr>
          <w:b/>
          <w:bCs/>
          <w:sz w:val="20"/>
        </w:rPr>
      </w:pPr>
      <w:r w:rsidRPr="00B9107F">
        <w:rPr>
          <w:b/>
          <w:bCs/>
          <w:sz w:val="20"/>
        </w:rPr>
        <w:t xml:space="preserve"> Systemic lupus erythematosus</w:t>
      </w:r>
    </w:p>
    <w:p w14:paraId="3DCF7224" w14:textId="77777777" w:rsidR="009E4D77" w:rsidRPr="00B9107F" w:rsidRDefault="009E4D77" w:rsidP="009E4D77">
      <w:pPr>
        <w:pStyle w:val="BodyText12"/>
        <w:spacing w:line="480" w:lineRule="auto"/>
        <w:rPr>
          <w:sz w:val="20"/>
        </w:rPr>
      </w:pPr>
      <w:r w:rsidRPr="00B9107F">
        <w:rPr>
          <w:b/>
          <w:bCs/>
          <w:noProof/>
          <w:sz w:val="20"/>
        </w:rPr>
        <w:drawing>
          <wp:inline distT="0" distB="0" distL="0" distR="0" wp14:anchorId="04B447B4" wp14:editId="132F8655">
            <wp:extent cx="6400800" cy="3243862"/>
            <wp:effectExtent l="0" t="0" r="0" b="0"/>
            <wp:docPr id="945716921" name="Picture 3"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16921" name="Picture 3" descr="A screenshot of a graph&#10;&#10;AI-generated content may be incorrect."/>
                    <pic:cNvPicPr/>
                  </pic:nvPicPr>
                  <pic:blipFill>
                    <a:blip r:embed="rId20"/>
                    <a:stretch>
                      <a:fillRect/>
                    </a:stretch>
                  </pic:blipFill>
                  <pic:spPr>
                    <a:xfrm>
                      <a:off x="0" y="0"/>
                      <a:ext cx="6400800" cy="3243862"/>
                    </a:xfrm>
                    <a:prstGeom prst="rect">
                      <a:avLst/>
                    </a:prstGeom>
                  </pic:spPr>
                </pic:pic>
              </a:graphicData>
            </a:graphic>
          </wp:inline>
        </w:drawing>
      </w:r>
    </w:p>
    <w:p w14:paraId="5A5AA612" w14:textId="77777777" w:rsidR="009E4D77" w:rsidRPr="00B9107F" w:rsidRDefault="009E4D77" w:rsidP="009E4D77">
      <w:pPr>
        <w:pStyle w:val="BodyText12"/>
        <w:spacing w:line="480" w:lineRule="auto"/>
        <w:rPr>
          <w:sz w:val="20"/>
        </w:rPr>
      </w:pPr>
      <w:r w:rsidRPr="00B9107F">
        <w:rPr>
          <w:sz w:val="20"/>
        </w:rPr>
        <w:t>Proportion (shown as a percentage) of patients with systemic lupus erythematosus over time (blue line represents case cohort and black line is control cohort). Level of significance: log-rank p-value &lt;0.001.</w:t>
      </w:r>
    </w:p>
    <w:p w14:paraId="62A1D5F5" w14:textId="77777777" w:rsidR="009E4D77" w:rsidRPr="00B9107F" w:rsidRDefault="009E4D77" w:rsidP="00DE6739">
      <w:pPr>
        <w:pStyle w:val="BodyText12"/>
        <w:keepNext/>
        <w:numPr>
          <w:ilvl w:val="0"/>
          <w:numId w:val="14"/>
        </w:numPr>
        <w:spacing w:line="480" w:lineRule="auto"/>
        <w:rPr>
          <w:b/>
          <w:bCs/>
          <w:sz w:val="20"/>
        </w:rPr>
      </w:pPr>
      <w:r w:rsidRPr="00B9107F">
        <w:rPr>
          <w:b/>
          <w:bCs/>
          <w:sz w:val="20"/>
        </w:rPr>
        <w:lastRenderedPageBreak/>
        <w:t xml:space="preserve"> Rheumatoid arthritis</w:t>
      </w:r>
    </w:p>
    <w:p w14:paraId="7599F48A" w14:textId="77777777" w:rsidR="009E4D77" w:rsidRPr="00B9107F" w:rsidRDefault="009E4D77" w:rsidP="009E4D77">
      <w:pPr>
        <w:pStyle w:val="BodyText12"/>
        <w:spacing w:line="480" w:lineRule="auto"/>
        <w:rPr>
          <w:sz w:val="20"/>
        </w:rPr>
      </w:pPr>
      <w:r w:rsidRPr="00B9107F">
        <w:rPr>
          <w:b/>
          <w:bCs/>
          <w:noProof/>
          <w:sz w:val="20"/>
        </w:rPr>
        <w:drawing>
          <wp:inline distT="0" distB="0" distL="0" distR="0" wp14:anchorId="2141185D" wp14:editId="3447443F">
            <wp:extent cx="6390978" cy="3113229"/>
            <wp:effectExtent l="0" t="0" r="0" b="0"/>
            <wp:docPr id="8749898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98985" name="Picture 11"/>
                    <pic:cNvPicPr/>
                  </pic:nvPicPr>
                  <pic:blipFill>
                    <a:blip r:embed="rId21"/>
                    <a:stretch>
                      <a:fillRect/>
                    </a:stretch>
                  </pic:blipFill>
                  <pic:spPr>
                    <a:xfrm>
                      <a:off x="0" y="0"/>
                      <a:ext cx="6390978" cy="3113229"/>
                    </a:xfrm>
                    <a:prstGeom prst="rect">
                      <a:avLst/>
                    </a:prstGeom>
                  </pic:spPr>
                </pic:pic>
              </a:graphicData>
            </a:graphic>
          </wp:inline>
        </w:drawing>
      </w:r>
    </w:p>
    <w:p w14:paraId="2E47387C" w14:textId="77777777" w:rsidR="009E4D77" w:rsidRPr="00B9107F" w:rsidRDefault="009E4D77" w:rsidP="009E4D77">
      <w:pPr>
        <w:pStyle w:val="BodyText12"/>
        <w:spacing w:line="480" w:lineRule="auto"/>
        <w:rPr>
          <w:sz w:val="20"/>
        </w:rPr>
      </w:pPr>
      <w:r w:rsidRPr="00B9107F">
        <w:rPr>
          <w:sz w:val="20"/>
        </w:rPr>
        <w:t>Proportion (shown as a percentage) of patients with rheumatoid arthritis over time (blue line represents case cohort and black line is control cohort). Level of significance: log-rank p-value &lt;0.001.</w:t>
      </w:r>
    </w:p>
    <w:p w14:paraId="7D4ECBAE" w14:textId="77777777" w:rsidR="009E4D77" w:rsidRPr="00B9107F" w:rsidRDefault="009E4D77" w:rsidP="00DE6739">
      <w:pPr>
        <w:pStyle w:val="BodyText12"/>
        <w:keepNext/>
        <w:numPr>
          <w:ilvl w:val="0"/>
          <w:numId w:val="14"/>
        </w:numPr>
        <w:spacing w:before="240" w:line="480" w:lineRule="auto"/>
        <w:rPr>
          <w:b/>
          <w:bCs/>
          <w:sz w:val="20"/>
        </w:rPr>
      </w:pPr>
      <w:r w:rsidRPr="00B9107F">
        <w:rPr>
          <w:b/>
          <w:bCs/>
          <w:sz w:val="20"/>
        </w:rPr>
        <w:lastRenderedPageBreak/>
        <w:t xml:space="preserve"> Cognitive impairment</w:t>
      </w:r>
    </w:p>
    <w:p w14:paraId="52E8BBDC" w14:textId="77777777" w:rsidR="009E4D77" w:rsidRPr="00B9107F" w:rsidRDefault="009E4D77" w:rsidP="009E4D77">
      <w:pPr>
        <w:pStyle w:val="BodyText12"/>
        <w:spacing w:line="480" w:lineRule="auto"/>
        <w:rPr>
          <w:bCs/>
          <w:sz w:val="20"/>
        </w:rPr>
      </w:pPr>
      <w:r w:rsidRPr="00B9107F">
        <w:rPr>
          <w:b/>
          <w:bCs/>
          <w:noProof/>
          <w:sz w:val="20"/>
        </w:rPr>
        <w:drawing>
          <wp:inline distT="0" distB="0" distL="0" distR="0" wp14:anchorId="7C427A11" wp14:editId="1D51DB29">
            <wp:extent cx="6400800" cy="3243862"/>
            <wp:effectExtent l="0" t="0" r="0" b="0"/>
            <wp:docPr id="1961106434" name="Picture 12" descr="A graph on a white sh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106434" name="Picture 12" descr="A graph on a white sheet&#10;&#10;AI-generated content may be incorrect."/>
                    <pic:cNvPicPr/>
                  </pic:nvPicPr>
                  <pic:blipFill>
                    <a:blip r:embed="rId22"/>
                    <a:stretch>
                      <a:fillRect/>
                    </a:stretch>
                  </pic:blipFill>
                  <pic:spPr>
                    <a:xfrm>
                      <a:off x="0" y="0"/>
                      <a:ext cx="6400800" cy="3243862"/>
                    </a:xfrm>
                    <a:prstGeom prst="rect">
                      <a:avLst/>
                    </a:prstGeom>
                  </pic:spPr>
                </pic:pic>
              </a:graphicData>
            </a:graphic>
          </wp:inline>
        </w:drawing>
      </w:r>
    </w:p>
    <w:p w14:paraId="457BC542" w14:textId="77777777" w:rsidR="009E4D77" w:rsidRPr="00B9107F" w:rsidRDefault="009E4D77" w:rsidP="009E4D77">
      <w:pPr>
        <w:pStyle w:val="BodyText12"/>
        <w:spacing w:line="480" w:lineRule="auto"/>
        <w:rPr>
          <w:bCs/>
          <w:sz w:val="20"/>
        </w:rPr>
      </w:pPr>
      <w:r w:rsidRPr="00B9107F">
        <w:rPr>
          <w:sz w:val="20"/>
        </w:rPr>
        <w:t>Proportion (shown as a percentage) of patients with cognitive impairment over time (blue line represents case cohort and black line is control cohort). Level of significance: log-rank p-value &lt;0.001.</w:t>
      </w:r>
    </w:p>
    <w:p w14:paraId="3A4CAE6B" w14:textId="139F5738" w:rsidR="009E4D77" w:rsidRPr="00B9107F" w:rsidRDefault="009E4D77" w:rsidP="009135FA">
      <w:pPr>
        <w:pStyle w:val="FigureCaption"/>
        <w:rPr>
          <w:rFonts w:eastAsia="SimSun" w:cs="Times New Roman"/>
          <w:b/>
          <w:caps/>
          <w:szCs w:val="24"/>
          <w:lang w:val="en-US"/>
        </w:rPr>
      </w:pPr>
      <w:r w:rsidRPr="00B9107F">
        <w:rPr>
          <w:rFonts w:cs="Times New Roman"/>
          <w:b/>
          <w:sz w:val="20"/>
          <w:szCs w:val="20"/>
          <w:lang w:val="en-US"/>
        </w:rPr>
        <w:t>Abbreviations</w:t>
      </w:r>
      <w:r w:rsidRPr="00B9107F">
        <w:rPr>
          <w:rFonts w:cs="Times New Roman"/>
          <w:sz w:val="20"/>
          <w:szCs w:val="20"/>
          <w:lang w:val="en-US"/>
        </w:rPr>
        <w:t xml:space="preserve">: </w:t>
      </w:r>
      <w:r w:rsidR="00D2510A" w:rsidRPr="00B9107F">
        <w:rPr>
          <w:rFonts w:cs="Times New Roman"/>
          <w:sz w:val="20"/>
          <w:szCs w:val="20"/>
          <w:lang w:val="en-US"/>
        </w:rPr>
        <w:t xml:space="preserve">CI, </w:t>
      </w:r>
      <w:r w:rsidR="003D6F4D" w:rsidRPr="00B9107F">
        <w:rPr>
          <w:rFonts w:cs="Times New Roman"/>
          <w:sz w:val="20"/>
          <w:szCs w:val="20"/>
          <w:lang w:val="en-US"/>
        </w:rPr>
        <w:t>C</w:t>
      </w:r>
      <w:r w:rsidR="00D2510A" w:rsidRPr="00B9107F">
        <w:rPr>
          <w:rFonts w:cs="Times New Roman"/>
          <w:sz w:val="20"/>
          <w:szCs w:val="20"/>
          <w:lang w:val="en-US"/>
        </w:rPr>
        <w:t xml:space="preserve">onfidence interval ; </w:t>
      </w:r>
      <w:r w:rsidRPr="00B9107F">
        <w:rPr>
          <w:rFonts w:cs="Times New Roman"/>
          <w:sz w:val="20"/>
          <w:szCs w:val="20"/>
          <w:lang w:val="en-US"/>
        </w:rPr>
        <w:t xml:space="preserve">HR, </w:t>
      </w:r>
      <w:r w:rsidR="003D6F4D" w:rsidRPr="00B9107F">
        <w:rPr>
          <w:rFonts w:cs="Times New Roman"/>
          <w:sz w:val="20"/>
          <w:szCs w:val="20"/>
          <w:lang w:val="en-US"/>
        </w:rPr>
        <w:t>H</w:t>
      </w:r>
      <w:r w:rsidRPr="00B9107F">
        <w:rPr>
          <w:rFonts w:cs="Times New Roman"/>
          <w:sz w:val="20"/>
          <w:szCs w:val="20"/>
          <w:lang w:val="en-US"/>
        </w:rPr>
        <w:t xml:space="preserve">azard ratio; IQR, </w:t>
      </w:r>
      <w:r w:rsidR="003D6F4D" w:rsidRPr="00B9107F">
        <w:rPr>
          <w:rFonts w:cs="Times New Roman"/>
          <w:sz w:val="20"/>
          <w:szCs w:val="20"/>
          <w:lang w:val="en-US"/>
        </w:rPr>
        <w:t>I</w:t>
      </w:r>
      <w:r w:rsidRPr="00B9107F">
        <w:rPr>
          <w:rFonts w:cs="Times New Roman"/>
          <w:sz w:val="20"/>
          <w:szCs w:val="20"/>
          <w:lang w:val="en-US"/>
        </w:rPr>
        <w:t xml:space="preserve">nterquartile </w:t>
      </w:r>
      <w:r w:rsidR="003D6F4D" w:rsidRPr="00B9107F">
        <w:rPr>
          <w:rFonts w:cs="Times New Roman"/>
          <w:sz w:val="20"/>
          <w:szCs w:val="20"/>
          <w:lang w:val="en-US"/>
        </w:rPr>
        <w:t>r</w:t>
      </w:r>
      <w:r w:rsidRPr="00B9107F">
        <w:rPr>
          <w:rFonts w:cs="Times New Roman"/>
          <w:sz w:val="20"/>
          <w:szCs w:val="20"/>
          <w:lang w:val="en-US"/>
        </w:rPr>
        <w:t xml:space="preserve">ange; SD, </w:t>
      </w:r>
      <w:r w:rsidR="003D6F4D" w:rsidRPr="00B9107F">
        <w:rPr>
          <w:rFonts w:cs="Times New Roman"/>
          <w:sz w:val="20"/>
          <w:szCs w:val="20"/>
          <w:lang w:val="en-US"/>
        </w:rPr>
        <w:t>S</w:t>
      </w:r>
      <w:r w:rsidRPr="00B9107F">
        <w:rPr>
          <w:rFonts w:cs="Times New Roman"/>
          <w:sz w:val="20"/>
          <w:szCs w:val="20"/>
          <w:lang w:val="en-US"/>
        </w:rPr>
        <w:t>tandard deviation.</w:t>
      </w:r>
      <w:bookmarkStart w:id="1" w:name="_Toc193194780"/>
      <w:r w:rsidRPr="00B9107F">
        <w:rPr>
          <w:rFonts w:cs="Times New Roman"/>
          <w:szCs w:val="24"/>
          <w:lang w:val="en-US"/>
        </w:rPr>
        <w:br w:type="page"/>
      </w:r>
    </w:p>
    <w:p w14:paraId="2ACC2394" w14:textId="62E1AF25" w:rsidR="009E4D77" w:rsidRPr="00B9107F" w:rsidRDefault="009E4D77" w:rsidP="009E4D77">
      <w:pPr>
        <w:pStyle w:val="Heading0"/>
        <w:spacing w:line="480" w:lineRule="auto"/>
        <w:rPr>
          <w:rFonts w:ascii="Times New Roman" w:hAnsi="Times New Roman"/>
          <w:szCs w:val="24"/>
        </w:rPr>
      </w:pPr>
      <w:r w:rsidRPr="00B9107F">
        <w:rPr>
          <w:rFonts w:ascii="Times New Roman" w:hAnsi="Times New Roman"/>
          <w:szCs w:val="24"/>
        </w:rPr>
        <w:lastRenderedPageBreak/>
        <w:t>TABLE</w:t>
      </w:r>
      <w:bookmarkEnd w:id="1"/>
    </w:p>
    <w:p w14:paraId="747D9D09" w14:textId="37944141" w:rsidR="009E4D77" w:rsidRPr="00B9107F" w:rsidRDefault="009E4D77" w:rsidP="009E4D77">
      <w:pPr>
        <w:pStyle w:val="FigureCaption"/>
        <w:rPr>
          <w:rFonts w:cs="Times New Roman"/>
          <w:b/>
          <w:bCs/>
          <w:szCs w:val="24"/>
        </w:rPr>
      </w:pPr>
      <w:r w:rsidRPr="00B9107F">
        <w:rPr>
          <w:rFonts w:cs="Times New Roman"/>
          <w:b/>
          <w:bCs/>
          <w:szCs w:val="24"/>
        </w:rPr>
        <w:t xml:space="preserve">Supplementary Table 1. Baseline characteristics of </w:t>
      </w:r>
      <w:r w:rsidR="007A75FE" w:rsidRPr="00B9107F">
        <w:rPr>
          <w:rFonts w:cs="Times New Roman"/>
          <w:b/>
          <w:bCs/>
          <w:szCs w:val="24"/>
        </w:rPr>
        <w:t>fatigue or</w:t>
      </w:r>
      <w:r w:rsidRPr="00B9107F">
        <w:rPr>
          <w:rFonts w:cs="Times New Roman"/>
          <w:b/>
          <w:bCs/>
          <w:szCs w:val="24"/>
        </w:rPr>
        <w:t xml:space="preserve"> pruritus cohorts before matching</w:t>
      </w:r>
      <w:r w:rsidR="00D2510A" w:rsidRPr="00B9107F">
        <w:rPr>
          <w:rFonts w:cs="Times New Roman"/>
          <w:b/>
          <w:bCs/>
          <w:szCs w:val="24"/>
        </w:rPr>
        <w:t>.</w:t>
      </w:r>
    </w:p>
    <w:tbl>
      <w:tblPr>
        <w:tblStyle w:val="TableGrid2"/>
        <w:tblW w:w="1053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85"/>
        <w:gridCol w:w="1530"/>
        <w:gridCol w:w="1530"/>
        <w:gridCol w:w="810"/>
        <w:gridCol w:w="1530"/>
        <w:gridCol w:w="1530"/>
        <w:gridCol w:w="815"/>
      </w:tblGrid>
      <w:tr w:rsidR="009E4D77" w:rsidRPr="00B9107F" w14:paraId="3EA136B6" w14:textId="77777777" w:rsidTr="001B4366">
        <w:trPr>
          <w:trHeight w:val="331"/>
          <w:tblHeader/>
        </w:trPr>
        <w:tc>
          <w:tcPr>
            <w:tcW w:w="2785" w:type="dxa"/>
            <w:tcBorders>
              <w:top w:val="single" w:sz="4" w:space="0" w:color="auto"/>
            </w:tcBorders>
            <w:vAlign w:val="center"/>
          </w:tcPr>
          <w:p w14:paraId="11FE4BEC" w14:textId="77777777" w:rsidR="009E4D77" w:rsidRPr="00B9107F" w:rsidRDefault="009E4D77" w:rsidP="001B4366">
            <w:pPr>
              <w:spacing w:after="0" w:line="240" w:lineRule="auto"/>
              <w:rPr>
                <w:rFonts w:ascii="Times New Roman" w:hAnsi="Times New Roman" w:cs="Times New Roman"/>
                <w:sz w:val="20"/>
                <w:szCs w:val="20"/>
              </w:rPr>
            </w:pPr>
          </w:p>
        </w:tc>
        <w:tc>
          <w:tcPr>
            <w:tcW w:w="3870" w:type="dxa"/>
            <w:gridSpan w:val="3"/>
            <w:tcBorders>
              <w:top w:val="single" w:sz="4" w:space="0" w:color="auto"/>
              <w:bottom w:val="double" w:sz="4" w:space="0" w:color="auto"/>
              <w:right w:val="single" w:sz="4" w:space="0" w:color="auto"/>
            </w:tcBorders>
            <w:vAlign w:val="center"/>
          </w:tcPr>
          <w:p w14:paraId="63B354B4" w14:textId="77777777" w:rsidR="009E4D77" w:rsidRPr="00B9107F" w:rsidRDefault="009E4D77" w:rsidP="001B4366">
            <w:pPr>
              <w:spacing w:after="0" w:line="240" w:lineRule="auto"/>
              <w:jc w:val="center"/>
              <w:rPr>
                <w:rFonts w:ascii="Times New Roman" w:hAnsi="Times New Roman" w:cs="Times New Roman"/>
                <w:b/>
                <w:bCs/>
                <w:sz w:val="20"/>
                <w:szCs w:val="20"/>
              </w:rPr>
            </w:pPr>
            <w:r w:rsidRPr="00B9107F">
              <w:rPr>
                <w:rFonts w:ascii="Times New Roman" w:hAnsi="Times New Roman" w:cs="Times New Roman"/>
                <w:b/>
                <w:bCs/>
                <w:sz w:val="20"/>
                <w:szCs w:val="20"/>
              </w:rPr>
              <w:t>Fatigue cohorts</w:t>
            </w:r>
          </w:p>
        </w:tc>
        <w:tc>
          <w:tcPr>
            <w:tcW w:w="3875" w:type="dxa"/>
            <w:gridSpan w:val="3"/>
            <w:tcBorders>
              <w:top w:val="single" w:sz="4" w:space="0" w:color="auto"/>
              <w:left w:val="single" w:sz="4" w:space="0" w:color="auto"/>
              <w:bottom w:val="double" w:sz="4" w:space="0" w:color="auto"/>
            </w:tcBorders>
            <w:vAlign w:val="center"/>
          </w:tcPr>
          <w:p w14:paraId="71C57187" w14:textId="77777777" w:rsidR="009E4D77" w:rsidRPr="00B9107F" w:rsidRDefault="009E4D77" w:rsidP="001B4366">
            <w:pPr>
              <w:spacing w:after="0" w:line="240" w:lineRule="auto"/>
              <w:jc w:val="center"/>
              <w:rPr>
                <w:rFonts w:ascii="Times New Roman" w:hAnsi="Times New Roman" w:cs="Times New Roman"/>
                <w:b/>
                <w:bCs/>
                <w:sz w:val="20"/>
                <w:szCs w:val="20"/>
              </w:rPr>
            </w:pPr>
            <w:r w:rsidRPr="00B9107F">
              <w:rPr>
                <w:rFonts w:ascii="Times New Roman" w:hAnsi="Times New Roman" w:cs="Times New Roman"/>
                <w:b/>
                <w:bCs/>
                <w:sz w:val="20"/>
                <w:szCs w:val="20"/>
              </w:rPr>
              <w:t>Pruritus cohorts</w:t>
            </w:r>
          </w:p>
        </w:tc>
      </w:tr>
      <w:tr w:rsidR="009E4D77" w:rsidRPr="00B9107F" w14:paraId="32139CAF" w14:textId="77777777" w:rsidTr="001B4366">
        <w:trPr>
          <w:trHeight w:val="331"/>
          <w:tblHeader/>
        </w:trPr>
        <w:tc>
          <w:tcPr>
            <w:tcW w:w="2785" w:type="dxa"/>
            <w:tcBorders>
              <w:bottom w:val="double" w:sz="4" w:space="0" w:color="auto"/>
            </w:tcBorders>
            <w:vAlign w:val="center"/>
          </w:tcPr>
          <w:p w14:paraId="49BCC8E5" w14:textId="77777777" w:rsidR="009E4D77" w:rsidRPr="00B9107F" w:rsidRDefault="009E4D77" w:rsidP="001B4366">
            <w:pPr>
              <w:spacing w:after="0" w:line="240" w:lineRule="auto"/>
              <w:rPr>
                <w:rFonts w:ascii="Times New Roman" w:hAnsi="Times New Roman" w:cs="Times New Roman"/>
                <w:sz w:val="20"/>
                <w:szCs w:val="20"/>
              </w:rPr>
            </w:pPr>
          </w:p>
        </w:tc>
        <w:tc>
          <w:tcPr>
            <w:tcW w:w="1530" w:type="dxa"/>
            <w:tcBorders>
              <w:top w:val="double" w:sz="4" w:space="0" w:color="auto"/>
              <w:bottom w:val="double" w:sz="4" w:space="0" w:color="auto"/>
            </w:tcBorders>
            <w:vAlign w:val="center"/>
          </w:tcPr>
          <w:p w14:paraId="6A73DEC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b/>
                <w:bCs/>
                <w:color w:val="231F20"/>
                <w:sz w:val="20"/>
                <w:szCs w:val="20"/>
              </w:rPr>
              <w:t>Case</w:t>
            </w:r>
            <w:r w:rsidRPr="00B9107F">
              <w:rPr>
                <w:rFonts w:ascii="Times New Roman" w:hAnsi="Times New Roman" w:cs="Times New Roman"/>
                <w:b/>
                <w:bCs/>
                <w:color w:val="231F20"/>
                <w:sz w:val="20"/>
                <w:szCs w:val="20"/>
              </w:rPr>
              <w:br/>
              <w:t>(N=2,383)</w:t>
            </w:r>
          </w:p>
        </w:tc>
        <w:tc>
          <w:tcPr>
            <w:tcW w:w="1530" w:type="dxa"/>
            <w:tcBorders>
              <w:top w:val="double" w:sz="4" w:space="0" w:color="auto"/>
              <w:bottom w:val="double" w:sz="4" w:space="0" w:color="auto"/>
            </w:tcBorders>
            <w:vAlign w:val="center"/>
          </w:tcPr>
          <w:p w14:paraId="7A36F74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b/>
                <w:bCs/>
                <w:color w:val="231F20"/>
                <w:sz w:val="20"/>
                <w:szCs w:val="20"/>
              </w:rPr>
              <w:t>Control</w:t>
            </w:r>
            <w:r w:rsidRPr="00B9107F">
              <w:rPr>
                <w:rFonts w:ascii="Times New Roman" w:hAnsi="Times New Roman" w:cs="Times New Roman"/>
                <w:b/>
                <w:bCs/>
                <w:color w:val="231F20"/>
                <w:sz w:val="20"/>
                <w:szCs w:val="20"/>
              </w:rPr>
              <w:br/>
              <w:t>(N=3,159)</w:t>
            </w:r>
          </w:p>
        </w:tc>
        <w:tc>
          <w:tcPr>
            <w:tcW w:w="810" w:type="dxa"/>
            <w:tcBorders>
              <w:top w:val="double" w:sz="4" w:space="0" w:color="auto"/>
              <w:bottom w:val="double" w:sz="4" w:space="0" w:color="auto"/>
              <w:right w:val="single" w:sz="4" w:space="0" w:color="auto"/>
            </w:tcBorders>
            <w:vAlign w:val="center"/>
          </w:tcPr>
          <w:p w14:paraId="29B916F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b/>
                <w:bCs/>
                <w:sz w:val="20"/>
                <w:szCs w:val="20"/>
              </w:rPr>
              <w:t>SMD</w:t>
            </w:r>
            <w:r w:rsidRPr="00B9107F">
              <w:rPr>
                <w:rFonts w:ascii="Times New Roman" w:hAnsi="Times New Roman" w:cs="Times New Roman"/>
                <w:b/>
                <w:bCs/>
                <w:sz w:val="20"/>
                <w:szCs w:val="20"/>
                <w:vertAlign w:val="superscript"/>
              </w:rPr>
              <w:t>1</w:t>
            </w:r>
          </w:p>
        </w:tc>
        <w:tc>
          <w:tcPr>
            <w:tcW w:w="1530" w:type="dxa"/>
            <w:tcBorders>
              <w:top w:val="double" w:sz="4" w:space="0" w:color="auto"/>
              <w:left w:val="single" w:sz="4" w:space="0" w:color="auto"/>
              <w:bottom w:val="double" w:sz="4" w:space="0" w:color="auto"/>
            </w:tcBorders>
            <w:vAlign w:val="center"/>
          </w:tcPr>
          <w:p w14:paraId="3CB3CAB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b/>
                <w:bCs/>
                <w:color w:val="231F20"/>
                <w:sz w:val="20"/>
                <w:szCs w:val="20"/>
              </w:rPr>
              <w:t>Case</w:t>
            </w:r>
            <w:r w:rsidRPr="00B9107F">
              <w:rPr>
                <w:rFonts w:ascii="Times New Roman" w:hAnsi="Times New Roman" w:cs="Times New Roman"/>
                <w:b/>
                <w:bCs/>
                <w:color w:val="231F20"/>
                <w:sz w:val="20"/>
                <w:szCs w:val="20"/>
              </w:rPr>
              <w:br/>
              <w:t>(N=927)</w:t>
            </w:r>
          </w:p>
        </w:tc>
        <w:tc>
          <w:tcPr>
            <w:tcW w:w="1530" w:type="dxa"/>
            <w:tcBorders>
              <w:top w:val="double" w:sz="4" w:space="0" w:color="auto"/>
              <w:bottom w:val="double" w:sz="4" w:space="0" w:color="auto"/>
            </w:tcBorders>
            <w:vAlign w:val="center"/>
          </w:tcPr>
          <w:p w14:paraId="5875A4E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b/>
                <w:bCs/>
                <w:color w:val="231F20"/>
                <w:sz w:val="20"/>
                <w:szCs w:val="20"/>
              </w:rPr>
              <w:t>Control</w:t>
            </w:r>
            <w:r w:rsidRPr="00B9107F">
              <w:rPr>
                <w:rFonts w:ascii="Times New Roman" w:hAnsi="Times New Roman" w:cs="Times New Roman"/>
                <w:b/>
                <w:bCs/>
                <w:color w:val="231F20"/>
                <w:sz w:val="20"/>
                <w:szCs w:val="20"/>
              </w:rPr>
              <w:br/>
              <w:t>(N=3,120)</w:t>
            </w:r>
          </w:p>
        </w:tc>
        <w:tc>
          <w:tcPr>
            <w:tcW w:w="815" w:type="dxa"/>
            <w:tcBorders>
              <w:top w:val="double" w:sz="4" w:space="0" w:color="auto"/>
              <w:bottom w:val="double" w:sz="4" w:space="0" w:color="auto"/>
            </w:tcBorders>
            <w:vAlign w:val="center"/>
          </w:tcPr>
          <w:p w14:paraId="34440F8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b/>
                <w:bCs/>
                <w:sz w:val="20"/>
                <w:szCs w:val="20"/>
              </w:rPr>
              <w:t>SMD</w:t>
            </w:r>
            <w:r w:rsidRPr="00B9107F">
              <w:rPr>
                <w:rFonts w:ascii="Times New Roman" w:hAnsi="Times New Roman" w:cs="Times New Roman"/>
                <w:b/>
                <w:bCs/>
                <w:sz w:val="20"/>
                <w:szCs w:val="20"/>
                <w:vertAlign w:val="superscript"/>
              </w:rPr>
              <w:t>1</w:t>
            </w:r>
          </w:p>
        </w:tc>
      </w:tr>
      <w:tr w:rsidR="009E4D77" w:rsidRPr="00B9107F" w14:paraId="727EB086" w14:textId="77777777" w:rsidTr="001B4366">
        <w:trPr>
          <w:trHeight w:val="331"/>
        </w:trPr>
        <w:tc>
          <w:tcPr>
            <w:tcW w:w="10530" w:type="dxa"/>
            <w:gridSpan w:val="7"/>
            <w:tcBorders>
              <w:top w:val="double" w:sz="4" w:space="0" w:color="auto"/>
              <w:bottom w:val="double" w:sz="4" w:space="0" w:color="auto"/>
            </w:tcBorders>
            <w:shd w:val="clear" w:color="auto" w:fill="E7E6E6" w:themeFill="background2"/>
            <w:vAlign w:val="center"/>
          </w:tcPr>
          <w:p w14:paraId="356EB0BA" w14:textId="77777777" w:rsidR="009E4D77" w:rsidRPr="00B9107F" w:rsidRDefault="009E4D77" w:rsidP="001B4366">
            <w:pPr>
              <w:spacing w:after="0" w:line="240" w:lineRule="auto"/>
              <w:rPr>
                <w:rFonts w:ascii="Times New Roman" w:hAnsi="Times New Roman" w:cs="Times New Roman"/>
                <w:b/>
                <w:bCs/>
                <w:sz w:val="20"/>
                <w:szCs w:val="20"/>
              </w:rPr>
            </w:pPr>
            <w:r w:rsidRPr="00B9107F">
              <w:rPr>
                <w:rFonts w:ascii="Times New Roman" w:hAnsi="Times New Roman" w:cs="Times New Roman"/>
                <w:b/>
                <w:bCs/>
                <w:sz w:val="20"/>
                <w:szCs w:val="20"/>
              </w:rPr>
              <w:t>Demographic characteristics</w:t>
            </w:r>
          </w:p>
        </w:tc>
      </w:tr>
      <w:tr w:rsidR="009E4D77" w:rsidRPr="00B9107F" w14:paraId="08127CEF" w14:textId="77777777" w:rsidTr="001B4366">
        <w:trPr>
          <w:trHeight w:val="331"/>
        </w:trPr>
        <w:tc>
          <w:tcPr>
            <w:tcW w:w="2785" w:type="dxa"/>
            <w:tcBorders>
              <w:top w:val="double" w:sz="4" w:space="0" w:color="auto"/>
              <w:bottom w:val="single" w:sz="4" w:space="0" w:color="auto"/>
            </w:tcBorders>
            <w:vAlign w:val="center"/>
          </w:tcPr>
          <w:p w14:paraId="01470689" w14:textId="77777777" w:rsidR="009E4D77" w:rsidRPr="00B9107F" w:rsidRDefault="009E4D77" w:rsidP="001B4366">
            <w:pPr>
              <w:spacing w:after="0" w:line="240" w:lineRule="auto"/>
              <w:ind w:left="168"/>
              <w:rPr>
                <w:rFonts w:ascii="Times New Roman" w:hAnsi="Times New Roman" w:cs="Times New Roman"/>
                <w:b/>
                <w:bCs/>
                <w:color w:val="231F20"/>
                <w:sz w:val="20"/>
                <w:szCs w:val="20"/>
              </w:rPr>
            </w:pPr>
            <w:r w:rsidRPr="00B9107F">
              <w:rPr>
                <w:rFonts w:ascii="Times New Roman" w:hAnsi="Times New Roman" w:cs="Times New Roman"/>
                <w:b/>
                <w:bCs/>
                <w:color w:val="231F20"/>
                <w:sz w:val="20"/>
                <w:szCs w:val="20"/>
              </w:rPr>
              <w:t xml:space="preserve">Age at index (years), </w:t>
            </w:r>
          </w:p>
          <w:p w14:paraId="1CD26101" w14:textId="77777777" w:rsidR="009E4D77" w:rsidRPr="00B9107F" w:rsidRDefault="009E4D77" w:rsidP="001B4366">
            <w:pPr>
              <w:spacing w:after="0" w:line="240" w:lineRule="auto"/>
              <w:ind w:left="168"/>
              <w:rPr>
                <w:rFonts w:ascii="Times New Roman" w:hAnsi="Times New Roman" w:cs="Times New Roman"/>
                <w:b/>
                <w:bCs/>
                <w:sz w:val="20"/>
                <w:szCs w:val="20"/>
              </w:rPr>
            </w:pPr>
            <w:r w:rsidRPr="00B9107F">
              <w:rPr>
                <w:rFonts w:ascii="Times New Roman" w:hAnsi="Times New Roman" w:cs="Times New Roman"/>
                <w:b/>
                <w:bCs/>
                <w:color w:val="231F20"/>
                <w:sz w:val="20"/>
                <w:szCs w:val="20"/>
              </w:rPr>
              <w:t>mean ± SD</w:t>
            </w:r>
          </w:p>
        </w:tc>
        <w:tc>
          <w:tcPr>
            <w:tcW w:w="1530" w:type="dxa"/>
            <w:tcBorders>
              <w:top w:val="double" w:sz="4" w:space="0" w:color="auto"/>
              <w:bottom w:val="single" w:sz="4" w:space="0" w:color="auto"/>
            </w:tcBorders>
            <w:vAlign w:val="center"/>
          </w:tcPr>
          <w:p w14:paraId="4DE035C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56.7 ± 11.0</w:t>
            </w:r>
          </w:p>
        </w:tc>
        <w:tc>
          <w:tcPr>
            <w:tcW w:w="1530" w:type="dxa"/>
            <w:tcBorders>
              <w:top w:val="double" w:sz="4" w:space="0" w:color="auto"/>
              <w:bottom w:val="single" w:sz="4" w:space="0" w:color="auto"/>
            </w:tcBorders>
            <w:vAlign w:val="center"/>
          </w:tcPr>
          <w:p w14:paraId="2D7C3DD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57.0 ± 10.1</w:t>
            </w:r>
          </w:p>
        </w:tc>
        <w:tc>
          <w:tcPr>
            <w:tcW w:w="810" w:type="dxa"/>
            <w:tcBorders>
              <w:top w:val="double" w:sz="4" w:space="0" w:color="auto"/>
              <w:bottom w:val="single" w:sz="4" w:space="0" w:color="auto"/>
              <w:right w:val="single" w:sz="4" w:space="0" w:color="auto"/>
            </w:tcBorders>
            <w:vAlign w:val="center"/>
          </w:tcPr>
          <w:p w14:paraId="125E47B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0.021</w:t>
            </w:r>
          </w:p>
        </w:tc>
        <w:tc>
          <w:tcPr>
            <w:tcW w:w="1530" w:type="dxa"/>
            <w:tcBorders>
              <w:top w:val="double" w:sz="4" w:space="0" w:color="auto"/>
              <w:left w:val="single" w:sz="4" w:space="0" w:color="auto"/>
              <w:bottom w:val="single" w:sz="4" w:space="0" w:color="auto"/>
            </w:tcBorders>
            <w:vAlign w:val="center"/>
          </w:tcPr>
          <w:p w14:paraId="45F1F7B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54.8 ± 11.4</w:t>
            </w:r>
          </w:p>
        </w:tc>
        <w:tc>
          <w:tcPr>
            <w:tcW w:w="1530" w:type="dxa"/>
            <w:tcBorders>
              <w:top w:val="double" w:sz="4" w:space="0" w:color="auto"/>
              <w:bottom w:val="single" w:sz="4" w:space="0" w:color="auto"/>
            </w:tcBorders>
            <w:vAlign w:val="center"/>
          </w:tcPr>
          <w:p w14:paraId="6EB834B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56.8 ± 10.0</w:t>
            </w:r>
          </w:p>
        </w:tc>
        <w:tc>
          <w:tcPr>
            <w:tcW w:w="815" w:type="dxa"/>
            <w:tcBorders>
              <w:top w:val="double" w:sz="4" w:space="0" w:color="auto"/>
              <w:bottom w:val="single" w:sz="4" w:space="0" w:color="auto"/>
            </w:tcBorders>
            <w:vAlign w:val="center"/>
          </w:tcPr>
          <w:p w14:paraId="2BCA39A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0.193</w:t>
            </w:r>
          </w:p>
        </w:tc>
      </w:tr>
      <w:tr w:rsidR="009E4D77" w:rsidRPr="00B9107F" w14:paraId="310C0D7F" w14:textId="77777777" w:rsidTr="001B4366">
        <w:trPr>
          <w:trHeight w:val="331"/>
        </w:trPr>
        <w:tc>
          <w:tcPr>
            <w:tcW w:w="2785" w:type="dxa"/>
            <w:tcBorders>
              <w:top w:val="single" w:sz="4" w:space="0" w:color="auto"/>
              <w:bottom w:val="single" w:sz="4" w:space="0" w:color="auto"/>
            </w:tcBorders>
            <w:vAlign w:val="center"/>
          </w:tcPr>
          <w:p w14:paraId="484F9851" w14:textId="77777777" w:rsidR="009E4D77" w:rsidRPr="00B9107F" w:rsidRDefault="009E4D77" w:rsidP="001B4366">
            <w:pPr>
              <w:spacing w:after="0" w:line="240" w:lineRule="auto"/>
              <w:ind w:left="168"/>
              <w:rPr>
                <w:rFonts w:ascii="Times New Roman" w:hAnsi="Times New Roman" w:cs="Times New Roman"/>
                <w:b/>
                <w:bCs/>
                <w:sz w:val="20"/>
                <w:szCs w:val="20"/>
              </w:rPr>
            </w:pPr>
            <w:r w:rsidRPr="00B9107F">
              <w:rPr>
                <w:rFonts w:ascii="Times New Roman" w:hAnsi="Times New Roman" w:cs="Times New Roman"/>
                <w:b/>
                <w:bCs/>
                <w:color w:val="231F20"/>
                <w:sz w:val="20"/>
                <w:szCs w:val="20"/>
              </w:rPr>
              <w:t>Female, n (%)</w:t>
            </w:r>
          </w:p>
        </w:tc>
        <w:tc>
          <w:tcPr>
            <w:tcW w:w="1530" w:type="dxa"/>
            <w:tcBorders>
              <w:top w:val="single" w:sz="4" w:space="0" w:color="auto"/>
              <w:bottom w:val="single" w:sz="4" w:space="0" w:color="auto"/>
            </w:tcBorders>
            <w:vAlign w:val="center"/>
          </w:tcPr>
          <w:p w14:paraId="30933DC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2,053 (86.2%)</w:t>
            </w:r>
          </w:p>
        </w:tc>
        <w:tc>
          <w:tcPr>
            <w:tcW w:w="1530" w:type="dxa"/>
            <w:tcBorders>
              <w:top w:val="single" w:sz="4" w:space="0" w:color="auto"/>
              <w:bottom w:val="single" w:sz="4" w:space="0" w:color="auto"/>
            </w:tcBorders>
            <w:vAlign w:val="center"/>
          </w:tcPr>
          <w:p w14:paraId="1BB6F4A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2,687 (85.1%)</w:t>
            </w:r>
          </w:p>
        </w:tc>
        <w:tc>
          <w:tcPr>
            <w:tcW w:w="810" w:type="dxa"/>
            <w:tcBorders>
              <w:top w:val="single" w:sz="4" w:space="0" w:color="auto"/>
              <w:bottom w:val="single" w:sz="4" w:space="0" w:color="auto"/>
              <w:right w:val="single" w:sz="4" w:space="0" w:color="auto"/>
            </w:tcBorders>
            <w:vAlign w:val="center"/>
          </w:tcPr>
          <w:p w14:paraId="54D3BAC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0.031</w:t>
            </w:r>
          </w:p>
        </w:tc>
        <w:tc>
          <w:tcPr>
            <w:tcW w:w="1530" w:type="dxa"/>
            <w:tcBorders>
              <w:top w:val="single" w:sz="4" w:space="0" w:color="auto"/>
              <w:left w:val="single" w:sz="4" w:space="0" w:color="auto"/>
              <w:bottom w:val="single" w:sz="4" w:space="0" w:color="auto"/>
            </w:tcBorders>
            <w:vAlign w:val="center"/>
          </w:tcPr>
          <w:p w14:paraId="59B21D0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805 (86.8%)</w:t>
            </w:r>
          </w:p>
        </w:tc>
        <w:tc>
          <w:tcPr>
            <w:tcW w:w="1530" w:type="dxa"/>
            <w:tcBorders>
              <w:top w:val="single" w:sz="4" w:space="0" w:color="auto"/>
              <w:bottom w:val="single" w:sz="4" w:space="0" w:color="auto"/>
            </w:tcBorders>
            <w:vAlign w:val="center"/>
          </w:tcPr>
          <w:p w14:paraId="21110F4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2,678 (85.8%)</w:t>
            </w:r>
          </w:p>
        </w:tc>
        <w:tc>
          <w:tcPr>
            <w:tcW w:w="815" w:type="dxa"/>
            <w:tcBorders>
              <w:top w:val="single" w:sz="4" w:space="0" w:color="auto"/>
              <w:bottom w:val="single" w:sz="4" w:space="0" w:color="auto"/>
            </w:tcBorders>
            <w:vAlign w:val="center"/>
          </w:tcPr>
          <w:p w14:paraId="2684004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0.029</w:t>
            </w:r>
          </w:p>
        </w:tc>
      </w:tr>
      <w:tr w:rsidR="009E4D77" w:rsidRPr="00B9107F" w14:paraId="44D115A0" w14:textId="77777777" w:rsidTr="001B4366">
        <w:trPr>
          <w:trHeight w:val="331"/>
        </w:trPr>
        <w:tc>
          <w:tcPr>
            <w:tcW w:w="2785" w:type="dxa"/>
            <w:tcBorders>
              <w:top w:val="single" w:sz="4" w:space="0" w:color="auto"/>
            </w:tcBorders>
            <w:vAlign w:val="center"/>
          </w:tcPr>
          <w:p w14:paraId="366E8938" w14:textId="77777777" w:rsidR="009E4D77" w:rsidRPr="00B9107F" w:rsidRDefault="009E4D77" w:rsidP="001B4366">
            <w:pPr>
              <w:spacing w:after="0" w:line="240" w:lineRule="auto"/>
              <w:ind w:left="168"/>
              <w:rPr>
                <w:rFonts w:ascii="Times New Roman" w:hAnsi="Times New Roman" w:cs="Times New Roman"/>
                <w:b/>
                <w:bCs/>
                <w:sz w:val="20"/>
                <w:szCs w:val="20"/>
              </w:rPr>
            </w:pPr>
            <w:r w:rsidRPr="00B9107F">
              <w:rPr>
                <w:rFonts w:ascii="Times New Roman" w:hAnsi="Times New Roman" w:cs="Times New Roman"/>
                <w:b/>
                <w:bCs/>
                <w:sz w:val="20"/>
                <w:szCs w:val="20"/>
              </w:rPr>
              <w:t xml:space="preserve">Geographic region, n (%) </w:t>
            </w:r>
          </w:p>
        </w:tc>
        <w:tc>
          <w:tcPr>
            <w:tcW w:w="3060" w:type="dxa"/>
            <w:gridSpan w:val="2"/>
            <w:tcBorders>
              <w:top w:val="single" w:sz="4" w:space="0" w:color="auto"/>
            </w:tcBorders>
            <w:vAlign w:val="center"/>
          </w:tcPr>
          <w:p w14:paraId="4992F924"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810" w:type="dxa"/>
            <w:tcBorders>
              <w:top w:val="single" w:sz="4" w:space="0" w:color="auto"/>
              <w:right w:val="single" w:sz="4" w:space="0" w:color="auto"/>
            </w:tcBorders>
            <w:vAlign w:val="center"/>
          </w:tcPr>
          <w:p w14:paraId="266CC51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0.200</w:t>
            </w:r>
          </w:p>
        </w:tc>
        <w:tc>
          <w:tcPr>
            <w:tcW w:w="3060" w:type="dxa"/>
            <w:gridSpan w:val="2"/>
            <w:tcBorders>
              <w:top w:val="single" w:sz="4" w:space="0" w:color="auto"/>
              <w:left w:val="single" w:sz="4" w:space="0" w:color="auto"/>
            </w:tcBorders>
            <w:vAlign w:val="center"/>
          </w:tcPr>
          <w:p w14:paraId="35D1526E"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815" w:type="dxa"/>
            <w:tcBorders>
              <w:top w:val="single" w:sz="4" w:space="0" w:color="auto"/>
            </w:tcBorders>
            <w:vAlign w:val="center"/>
          </w:tcPr>
          <w:p w14:paraId="3A54085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0.258</w:t>
            </w:r>
          </w:p>
        </w:tc>
      </w:tr>
      <w:tr w:rsidR="009E4D77" w:rsidRPr="00B9107F" w14:paraId="2E2741B6" w14:textId="77777777" w:rsidTr="001B4366">
        <w:trPr>
          <w:trHeight w:val="331"/>
        </w:trPr>
        <w:tc>
          <w:tcPr>
            <w:tcW w:w="2785" w:type="dxa"/>
            <w:vAlign w:val="center"/>
          </w:tcPr>
          <w:p w14:paraId="2437660E"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sz w:val="20"/>
                <w:szCs w:val="20"/>
              </w:rPr>
              <w:t>South</w:t>
            </w:r>
          </w:p>
        </w:tc>
        <w:tc>
          <w:tcPr>
            <w:tcW w:w="1530" w:type="dxa"/>
            <w:vAlign w:val="center"/>
          </w:tcPr>
          <w:p w14:paraId="7C52F32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1,087 (45.6%)</w:t>
            </w:r>
          </w:p>
        </w:tc>
        <w:tc>
          <w:tcPr>
            <w:tcW w:w="1530" w:type="dxa"/>
            <w:vAlign w:val="center"/>
          </w:tcPr>
          <w:p w14:paraId="15466D9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1,166 (36.9%)</w:t>
            </w:r>
          </w:p>
        </w:tc>
        <w:tc>
          <w:tcPr>
            <w:tcW w:w="810" w:type="dxa"/>
            <w:vMerge w:val="restart"/>
            <w:tcBorders>
              <w:right w:val="single" w:sz="4" w:space="0" w:color="auto"/>
            </w:tcBorders>
            <w:vAlign w:val="center"/>
          </w:tcPr>
          <w:p w14:paraId="49E62439"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1D0882A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452 (48.8%)</w:t>
            </w:r>
          </w:p>
        </w:tc>
        <w:tc>
          <w:tcPr>
            <w:tcW w:w="1530" w:type="dxa"/>
            <w:vAlign w:val="center"/>
          </w:tcPr>
          <w:p w14:paraId="6A89731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1,165 (37.3%)</w:t>
            </w:r>
          </w:p>
        </w:tc>
        <w:tc>
          <w:tcPr>
            <w:tcW w:w="815" w:type="dxa"/>
            <w:vMerge w:val="restart"/>
            <w:vAlign w:val="center"/>
          </w:tcPr>
          <w:p w14:paraId="36106609"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6099D59E" w14:textId="77777777" w:rsidTr="001B4366">
        <w:trPr>
          <w:trHeight w:val="331"/>
        </w:trPr>
        <w:tc>
          <w:tcPr>
            <w:tcW w:w="2785" w:type="dxa"/>
            <w:vAlign w:val="center"/>
          </w:tcPr>
          <w:p w14:paraId="33109FCF"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sz w:val="20"/>
                <w:szCs w:val="20"/>
              </w:rPr>
              <w:t>Midwest</w:t>
            </w:r>
          </w:p>
        </w:tc>
        <w:tc>
          <w:tcPr>
            <w:tcW w:w="1530" w:type="dxa"/>
            <w:vAlign w:val="center"/>
          </w:tcPr>
          <w:p w14:paraId="1FCFA6F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601 (25.2%)</w:t>
            </w:r>
          </w:p>
        </w:tc>
        <w:tc>
          <w:tcPr>
            <w:tcW w:w="1530" w:type="dxa"/>
            <w:vAlign w:val="center"/>
          </w:tcPr>
          <w:p w14:paraId="7C45E2C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882 (27.9%)</w:t>
            </w:r>
          </w:p>
        </w:tc>
        <w:tc>
          <w:tcPr>
            <w:tcW w:w="810" w:type="dxa"/>
            <w:vMerge/>
            <w:tcBorders>
              <w:right w:val="single" w:sz="4" w:space="0" w:color="auto"/>
            </w:tcBorders>
            <w:vAlign w:val="center"/>
          </w:tcPr>
          <w:p w14:paraId="20197583"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0BBDE34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211 (22.8%)</w:t>
            </w:r>
          </w:p>
        </w:tc>
        <w:tc>
          <w:tcPr>
            <w:tcW w:w="1530" w:type="dxa"/>
            <w:vAlign w:val="center"/>
          </w:tcPr>
          <w:p w14:paraId="0EC4051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866 (27.8%)</w:t>
            </w:r>
          </w:p>
        </w:tc>
        <w:tc>
          <w:tcPr>
            <w:tcW w:w="815" w:type="dxa"/>
            <w:vMerge/>
            <w:vAlign w:val="center"/>
          </w:tcPr>
          <w:p w14:paraId="1103F9FB"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6192DEA5" w14:textId="77777777" w:rsidTr="001B4366">
        <w:trPr>
          <w:trHeight w:val="331"/>
        </w:trPr>
        <w:tc>
          <w:tcPr>
            <w:tcW w:w="2785" w:type="dxa"/>
            <w:vAlign w:val="center"/>
          </w:tcPr>
          <w:p w14:paraId="08A4FA86"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sz w:val="20"/>
                <w:szCs w:val="20"/>
              </w:rPr>
              <w:t>Northeast</w:t>
            </w:r>
          </w:p>
        </w:tc>
        <w:tc>
          <w:tcPr>
            <w:tcW w:w="1530" w:type="dxa"/>
            <w:vAlign w:val="center"/>
          </w:tcPr>
          <w:p w14:paraId="3C2B9E4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387 (16.2%)</w:t>
            </w:r>
          </w:p>
        </w:tc>
        <w:tc>
          <w:tcPr>
            <w:tcW w:w="1530" w:type="dxa"/>
            <w:vAlign w:val="center"/>
          </w:tcPr>
          <w:p w14:paraId="7063DB1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635 (20.1%)</w:t>
            </w:r>
          </w:p>
        </w:tc>
        <w:tc>
          <w:tcPr>
            <w:tcW w:w="810" w:type="dxa"/>
            <w:vMerge/>
            <w:tcBorders>
              <w:right w:val="single" w:sz="4" w:space="0" w:color="auto"/>
            </w:tcBorders>
            <w:vAlign w:val="center"/>
          </w:tcPr>
          <w:p w14:paraId="41D8DE44"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37D3B98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148 (16.0%)</w:t>
            </w:r>
          </w:p>
        </w:tc>
        <w:tc>
          <w:tcPr>
            <w:tcW w:w="1530" w:type="dxa"/>
            <w:vAlign w:val="center"/>
          </w:tcPr>
          <w:p w14:paraId="508186A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628 (20.1%)</w:t>
            </w:r>
          </w:p>
        </w:tc>
        <w:tc>
          <w:tcPr>
            <w:tcW w:w="815" w:type="dxa"/>
            <w:vMerge/>
            <w:vAlign w:val="center"/>
          </w:tcPr>
          <w:p w14:paraId="14176BE5"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24ED8068" w14:textId="77777777" w:rsidTr="001B4366">
        <w:trPr>
          <w:trHeight w:val="331"/>
        </w:trPr>
        <w:tc>
          <w:tcPr>
            <w:tcW w:w="2785" w:type="dxa"/>
            <w:vAlign w:val="center"/>
          </w:tcPr>
          <w:p w14:paraId="5A745175"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sz w:val="20"/>
                <w:szCs w:val="20"/>
              </w:rPr>
              <w:t>West</w:t>
            </w:r>
          </w:p>
        </w:tc>
        <w:tc>
          <w:tcPr>
            <w:tcW w:w="1530" w:type="dxa"/>
            <w:vAlign w:val="center"/>
          </w:tcPr>
          <w:p w14:paraId="3B65D67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305 (12.8%)</w:t>
            </w:r>
          </w:p>
        </w:tc>
        <w:tc>
          <w:tcPr>
            <w:tcW w:w="1530" w:type="dxa"/>
            <w:vAlign w:val="center"/>
          </w:tcPr>
          <w:p w14:paraId="4CE1485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453 (14.3%)</w:t>
            </w:r>
          </w:p>
        </w:tc>
        <w:tc>
          <w:tcPr>
            <w:tcW w:w="810" w:type="dxa"/>
            <w:vMerge/>
            <w:tcBorders>
              <w:right w:val="single" w:sz="4" w:space="0" w:color="auto"/>
            </w:tcBorders>
            <w:vAlign w:val="center"/>
          </w:tcPr>
          <w:p w14:paraId="79A19C94"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4800CB9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116 (12.5%)</w:t>
            </w:r>
          </w:p>
        </w:tc>
        <w:tc>
          <w:tcPr>
            <w:tcW w:w="1530" w:type="dxa"/>
            <w:vAlign w:val="center"/>
          </w:tcPr>
          <w:p w14:paraId="618EE9A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439 (14.1%)</w:t>
            </w:r>
          </w:p>
        </w:tc>
        <w:tc>
          <w:tcPr>
            <w:tcW w:w="815" w:type="dxa"/>
            <w:vMerge/>
            <w:vAlign w:val="center"/>
          </w:tcPr>
          <w:p w14:paraId="42A73D75"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56E04706" w14:textId="77777777" w:rsidTr="001B4366">
        <w:trPr>
          <w:trHeight w:val="331"/>
        </w:trPr>
        <w:tc>
          <w:tcPr>
            <w:tcW w:w="2785" w:type="dxa"/>
            <w:tcBorders>
              <w:bottom w:val="single" w:sz="4" w:space="0" w:color="auto"/>
            </w:tcBorders>
            <w:vAlign w:val="center"/>
          </w:tcPr>
          <w:p w14:paraId="4663D386"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sz w:val="20"/>
                <w:szCs w:val="20"/>
              </w:rPr>
              <w:t>Unknown</w:t>
            </w:r>
          </w:p>
        </w:tc>
        <w:tc>
          <w:tcPr>
            <w:tcW w:w="1530" w:type="dxa"/>
            <w:tcBorders>
              <w:bottom w:val="single" w:sz="4" w:space="0" w:color="auto"/>
            </w:tcBorders>
            <w:vAlign w:val="center"/>
          </w:tcPr>
          <w:p w14:paraId="7EB688E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 (0.1%)</w:t>
            </w:r>
          </w:p>
        </w:tc>
        <w:tc>
          <w:tcPr>
            <w:tcW w:w="1530" w:type="dxa"/>
            <w:tcBorders>
              <w:bottom w:val="single" w:sz="4" w:space="0" w:color="auto"/>
            </w:tcBorders>
            <w:vAlign w:val="center"/>
          </w:tcPr>
          <w:p w14:paraId="3BAFF6B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23 (0.7%)</w:t>
            </w:r>
          </w:p>
        </w:tc>
        <w:tc>
          <w:tcPr>
            <w:tcW w:w="810" w:type="dxa"/>
            <w:vMerge/>
            <w:tcBorders>
              <w:bottom w:val="single" w:sz="4" w:space="0" w:color="auto"/>
              <w:right w:val="single" w:sz="4" w:space="0" w:color="auto"/>
            </w:tcBorders>
            <w:vAlign w:val="center"/>
          </w:tcPr>
          <w:p w14:paraId="6898A5D1"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bottom w:val="single" w:sz="4" w:space="0" w:color="auto"/>
            </w:tcBorders>
            <w:vAlign w:val="center"/>
          </w:tcPr>
          <w:p w14:paraId="431E2CE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 (0.0%)</w:t>
            </w:r>
          </w:p>
        </w:tc>
        <w:tc>
          <w:tcPr>
            <w:tcW w:w="1530" w:type="dxa"/>
            <w:tcBorders>
              <w:bottom w:val="single" w:sz="4" w:space="0" w:color="auto"/>
            </w:tcBorders>
            <w:vAlign w:val="center"/>
          </w:tcPr>
          <w:p w14:paraId="77AC611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22 (0.7%)</w:t>
            </w:r>
          </w:p>
        </w:tc>
        <w:tc>
          <w:tcPr>
            <w:tcW w:w="815" w:type="dxa"/>
            <w:vMerge/>
            <w:tcBorders>
              <w:bottom w:val="single" w:sz="4" w:space="0" w:color="auto"/>
            </w:tcBorders>
            <w:vAlign w:val="center"/>
          </w:tcPr>
          <w:p w14:paraId="2B14C542"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6937CADE" w14:textId="77777777" w:rsidTr="001B4366">
        <w:trPr>
          <w:trHeight w:val="331"/>
        </w:trPr>
        <w:tc>
          <w:tcPr>
            <w:tcW w:w="2785" w:type="dxa"/>
            <w:tcBorders>
              <w:top w:val="single" w:sz="4" w:space="0" w:color="auto"/>
            </w:tcBorders>
            <w:vAlign w:val="center"/>
          </w:tcPr>
          <w:p w14:paraId="7511870B" w14:textId="77777777" w:rsidR="009E4D77" w:rsidRPr="00B9107F" w:rsidRDefault="009E4D77" w:rsidP="001B4366">
            <w:pPr>
              <w:spacing w:after="0" w:line="240" w:lineRule="auto"/>
              <w:ind w:left="168"/>
              <w:rPr>
                <w:rFonts w:ascii="Times New Roman" w:hAnsi="Times New Roman" w:cs="Times New Roman"/>
                <w:b/>
                <w:bCs/>
                <w:sz w:val="20"/>
                <w:szCs w:val="20"/>
              </w:rPr>
            </w:pPr>
            <w:r w:rsidRPr="00B9107F">
              <w:rPr>
                <w:rFonts w:ascii="Times New Roman" w:hAnsi="Times New Roman" w:cs="Times New Roman"/>
                <w:b/>
                <w:bCs/>
                <w:color w:val="231F20"/>
                <w:sz w:val="20"/>
                <w:szCs w:val="20"/>
              </w:rPr>
              <w:t>Insurance type</w:t>
            </w:r>
          </w:p>
        </w:tc>
        <w:tc>
          <w:tcPr>
            <w:tcW w:w="3060" w:type="dxa"/>
            <w:gridSpan w:val="2"/>
            <w:tcBorders>
              <w:top w:val="single" w:sz="4" w:space="0" w:color="auto"/>
            </w:tcBorders>
            <w:vAlign w:val="center"/>
          </w:tcPr>
          <w:p w14:paraId="3C76B758"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810" w:type="dxa"/>
            <w:tcBorders>
              <w:top w:val="single" w:sz="4" w:space="0" w:color="auto"/>
              <w:right w:val="single" w:sz="4" w:space="0" w:color="auto"/>
            </w:tcBorders>
            <w:vAlign w:val="center"/>
          </w:tcPr>
          <w:p w14:paraId="316478A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0.120</w:t>
            </w:r>
          </w:p>
        </w:tc>
        <w:tc>
          <w:tcPr>
            <w:tcW w:w="3060" w:type="dxa"/>
            <w:gridSpan w:val="2"/>
            <w:tcBorders>
              <w:top w:val="single" w:sz="4" w:space="0" w:color="auto"/>
              <w:left w:val="single" w:sz="4" w:space="0" w:color="auto"/>
            </w:tcBorders>
            <w:vAlign w:val="center"/>
          </w:tcPr>
          <w:p w14:paraId="76761FD2"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815" w:type="dxa"/>
            <w:tcBorders>
              <w:top w:val="single" w:sz="4" w:space="0" w:color="auto"/>
            </w:tcBorders>
            <w:vAlign w:val="center"/>
          </w:tcPr>
          <w:p w14:paraId="2CAFA41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0.073</w:t>
            </w:r>
          </w:p>
        </w:tc>
      </w:tr>
      <w:tr w:rsidR="009E4D77" w:rsidRPr="00B9107F" w14:paraId="785D2EE1" w14:textId="77777777" w:rsidTr="001B4366">
        <w:trPr>
          <w:trHeight w:val="331"/>
        </w:trPr>
        <w:tc>
          <w:tcPr>
            <w:tcW w:w="2785" w:type="dxa"/>
            <w:vAlign w:val="center"/>
          </w:tcPr>
          <w:p w14:paraId="1C6E9ACA"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231F20"/>
                <w:sz w:val="20"/>
                <w:szCs w:val="20"/>
              </w:rPr>
              <w:t>Commercial</w:t>
            </w:r>
          </w:p>
        </w:tc>
        <w:tc>
          <w:tcPr>
            <w:tcW w:w="1530" w:type="dxa"/>
            <w:vAlign w:val="center"/>
          </w:tcPr>
          <w:p w14:paraId="5A34FFB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2,123 (89.1%)</w:t>
            </w:r>
          </w:p>
        </w:tc>
        <w:tc>
          <w:tcPr>
            <w:tcW w:w="1530" w:type="dxa"/>
            <w:vAlign w:val="center"/>
          </w:tcPr>
          <w:p w14:paraId="3E41E7A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2,924 (92.6%)</w:t>
            </w:r>
          </w:p>
        </w:tc>
        <w:tc>
          <w:tcPr>
            <w:tcW w:w="810" w:type="dxa"/>
            <w:vMerge w:val="restart"/>
            <w:tcBorders>
              <w:right w:val="single" w:sz="4" w:space="0" w:color="auto"/>
            </w:tcBorders>
            <w:vAlign w:val="center"/>
          </w:tcPr>
          <w:p w14:paraId="01605D37"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68E4CA4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846 (91.3%)</w:t>
            </w:r>
          </w:p>
        </w:tc>
        <w:tc>
          <w:tcPr>
            <w:tcW w:w="1530" w:type="dxa"/>
            <w:vAlign w:val="center"/>
          </w:tcPr>
          <w:p w14:paraId="2C3070E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2,908 (93.2%)</w:t>
            </w:r>
          </w:p>
        </w:tc>
        <w:tc>
          <w:tcPr>
            <w:tcW w:w="815" w:type="dxa"/>
            <w:vMerge w:val="restart"/>
            <w:vAlign w:val="center"/>
          </w:tcPr>
          <w:p w14:paraId="5967A621"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0E23E01A" w14:textId="77777777" w:rsidTr="001B4366">
        <w:trPr>
          <w:trHeight w:val="331"/>
        </w:trPr>
        <w:tc>
          <w:tcPr>
            <w:tcW w:w="2785" w:type="dxa"/>
            <w:tcBorders>
              <w:bottom w:val="double" w:sz="4" w:space="0" w:color="auto"/>
            </w:tcBorders>
            <w:vAlign w:val="center"/>
          </w:tcPr>
          <w:p w14:paraId="29DC6759"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231F20"/>
                <w:sz w:val="20"/>
                <w:szCs w:val="20"/>
              </w:rPr>
              <w:t>Medicare Advantage</w:t>
            </w:r>
          </w:p>
        </w:tc>
        <w:tc>
          <w:tcPr>
            <w:tcW w:w="1530" w:type="dxa"/>
            <w:tcBorders>
              <w:bottom w:val="double" w:sz="4" w:space="0" w:color="auto"/>
            </w:tcBorders>
            <w:vAlign w:val="center"/>
          </w:tcPr>
          <w:p w14:paraId="077593A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260 (10.9%)</w:t>
            </w:r>
          </w:p>
        </w:tc>
        <w:tc>
          <w:tcPr>
            <w:tcW w:w="1530" w:type="dxa"/>
            <w:tcBorders>
              <w:bottom w:val="double" w:sz="4" w:space="0" w:color="auto"/>
            </w:tcBorders>
            <w:vAlign w:val="center"/>
          </w:tcPr>
          <w:p w14:paraId="44AF459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235 (7.4%)</w:t>
            </w:r>
          </w:p>
        </w:tc>
        <w:tc>
          <w:tcPr>
            <w:tcW w:w="810" w:type="dxa"/>
            <w:vMerge/>
            <w:tcBorders>
              <w:bottom w:val="double" w:sz="4" w:space="0" w:color="auto"/>
              <w:right w:val="single" w:sz="4" w:space="0" w:color="auto"/>
            </w:tcBorders>
            <w:shd w:val="clear" w:color="auto" w:fill="FFF2CC" w:themeFill="accent4" w:themeFillTint="33"/>
            <w:vAlign w:val="center"/>
          </w:tcPr>
          <w:p w14:paraId="130D815C"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bottom w:val="double" w:sz="4" w:space="0" w:color="auto"/>
            </w:tcBorders>
            <w:vAlign w:val="center"/>
          </w:tcPr>
          <w:p w14:paraId="08284F3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81 (8.7%)</w:t>
            </w:r>
          </w:p>
        </w:tc>
        <w:tc>
          <w:tcPr>
            <w:tcW w:w="1530" w:type="dxa"/>
            <w:tcBorders>
              <w:bottom w:val="double" w:sz="4" w:space="0" w:color="auto"/>
            </w:tcBorders>
            <w:vAlign w:val="center"/>
          </w:tcPr>
          <w:p w14:paraId="0D7290B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212 (6.8%)</w:t>
            </w:r>
          </w:p>
        </w:tc>
        <w:tc>
          <w:tcPr>
            <w:tcW w:w="815" w:type="dxa"/>
            <w:vMerge/>
            <w:tcBorders>
              <w:bottom w:val="double" w:sz="4" w:space="0" w:color="auto"/>
            </w:tcBorders>
            <w:shd w:val="clear" w:color="auto" w:fill="FFF2CC" w:themeFill="accent4" w:themeFillTint="33"/>
            <w:vAlign w:val="center"/>
          </w:tcPr>
          <w:p w14:paraId="7F26CA17"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1BF39730" w14:textId="77777777" w:rsidTr="001B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530" w:type="dxa"/>
            <w:gridSpan w:val="7"/>
            <w:tcBorders>
              <w:top w:val="double" w:sz="4" w:space="0" w:color="auto"/>
              <w:left w:val="nil"/>
              <w:bottom w:val="double" w:sz="4" w:space="0" w:color="auto"/>
              <w:right w:val="nil"/>
            </w:tcBorders>
            <w:shd w:val="clear" w:color="auto" w:fill="E7E6E6" w:themeFill="background2"/>
            <w:vAlign w:val="center"/>
          </w:tcPr>
          <w:p w14:paraId="1158EFC8" w14:textId="77777777" w:rsidR="009E4D77" w:rsidRPr="00B9107F" w:rsidRDefault="009E4D77" w:rsidP="001B4366">
            <w:pPr>
              <w:spacing w:after="0" w:line="240" w:lineRule="auto"/>
              <w:rPr>
                <w:rFonts w:ascii="Times New Roman" w:hAnsi="Times New Roman" w:cs="Times New Roman"/>
                <w:sz w:val="20"/>
                <w:szCs w:val="20"/>
              </w:rPr>
            </w:pPr>
            <w:r w:rsidRPr="00B9107F">
              <w:rPr>
                <w:rFonts w:ascii="Times New Roman" w:hAnsi="Times New Roman" w:cs="Times New Roman"/>
                <w:b/>
                <w:bCs/>
                <w:color w:val="000000"/>
                <w:sz w:val="20"/>
                <w:szCs w:val="20"/>
              </w:rPr>
              <w:t>PBC disease characteristics</w:t>
            </w:r>
          </w:p>
        </w:tc>
      </w:tr>
      <w:tr w:rsidR="009E4D77" w:rsidRPr="00B9107F" w14:paraId="3E2DA48D" w14:textId="77777777" w:rsidTr="001B4366">
        <w:trPr>
          <w:trHeight w:val="331"/>
        </w:trPr>
        <w:tc>
          <w:tcPr>
            <w:tcW w:w="2785" w:type="dxa"/>
            <w:tcBorders>
              <w:top w:val="double" w:sz="4" w:space="0" w:color="auto"/>
            </w:tcBorders>
            <w:vAlign w:val="center"/>
          </w:tcPr>
          <w:p w14:paraId="6AFBC382" w14:textId="77777777" w:rsidR="009E4D77" w:rsidRPr="00B9107F" w:rsidRDefault="009E4D77" w:rsidP="001B4366">
            <w:pPr>
              <w:spacing w:after="0" w:line="240" w:lineRule="auto"/>
              <w:rPr>
                <w:rFonts w:ascii="Times New Roman" w:hAnsi="Times New Roman" w:cs="Times New Roman"/>
                <w:b/>
                <w:bCs/>
                <w:sz w:val="20"/>
                <w:szCs w:val="20"/>
              </w:rPr>
            </w:pPr>
            <w:r w:rsidRPr="00B9107F">
              <w:rPr>
                <w:rFonts w:ascii="Times New Roman" w:hAnsi="Times New Roman" w:cs="Times New Roman"/>
                <w:b/>
                <w:bCs/>
                <w:color w:val="000000"/>
                <w:sz w:val="20"/>
                <w:szCs w:val="20"/>
              </w:rPr>
              <w:t>First observed diagnosis,</w:t>
            </w:r>
            <w:r w:rsidRPr="00B9107F">
              <w:rPr>
                <w:rFonts w:ascii="Times New Roman" w:hAnsi="Times New Roman" w:cs="Times New Roman"/>
                <w:b/>
                <w:bCs/>
                <w:color w:val="000000"/>
                <w:sz w:val="20"/>
                <w:szCs w:val="20"/>
                <w:vertAlign w:val="superscript"/>
              </w:rPr>
              <w:t>2</w:t>
            </w:r>
            <w:r w:rsidRPr="00B9107F">
              <w:rPr>
                <w:rFonts w:ascii="Times New Roman" w:hAnsi="Times New Roman" w:cs="Times New Roman"/>
                <w:b/>
                <w:bCs/>
                <w:color w:val="231F20"/>
                <w:sz w:val="20"/>
                <w:szCs w:val="20"/>
              </w:rPr>
              <w:t xml:space="preserve"> n (%)</w:t>
            </w:r>
          </w:p>
        </w:tc>
        <w:tc>
          <w:tcPr>
            <w:tcW w:w="3060" w:type="dxa"/>
            <w:gridSpan w:val="2"/>
            <w:tcBorders>
              <w:top w:val="double" w:sz="4" w:space="0" w:color="auto"/>
            </w:tcBorders>
            <w:vAlign w:val="center"/>
          </w:tcPr>
          <w:p w14:paraId="57883F79"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810" w:type="dxa"/>
            <w:tcBorders>
              <w:top w:val="double" w:sz="4" w:space="0" w:color="auto"/>
              <w:right w:val="single" w:sz="4" w:space="0" w:color="auto"/>
            </w:tcBorders>
            <w:vAlign w:val="center"/>
          </w:tcPr>
          <w:p w14:paraId="20F7D88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0.208</w:t>
            </w:r>
          </w:p>
        </w:tc>
        <w:tc>
          <w:tcPr>
            <w:tcW w:w="3060" w:type="dxa"/>
            <w:gridSpan w:val="2"/>
            <w:tcBorders>
              <w:top w:val="double" w:sz="4" w:space="0" w:color="auto"/>
              <w:left w:val="single" w:sz="4" w:space="0" w:color="auto"/>
            </w:tcBorders>
            <w:vAlign w:val="center"/>
          </w:tcPr>
          <w:p w14:paraId="5F3994A5"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815" w:type="dxa"/>
            <w:tcBorders>
              <w:top w:val="double" w:sz="4" w:space="0" w:color="auto"/>
            </w:tcBorders>
            <w:vAlign w:val="center"/>
          </w:tcPr>
          <w:p w14:paraId="3F08583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0.241</w:t>
            </w:r>
          </w:p>
        </w:tc>
      </w:tr>
      <w:tr w:rsidR="009E4D77" w:rsidRPr="00B9107F" w14:paraId="6321ABE3" w14:textId="77777777" w:rsidTr="001B4366">
        <w:trPr>
          <w:trHeight w:val="331"/>
        </w:trPr>
        <w:tc>
          <w:tcPr>
            <w:tcW w:w="2785" w:type="dxa"/>
            <w:vAlign w:val="center"/>
          </w:tcPr>
          <w:p w14:paraId="780E9C3F"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000000"/>
                <w:sz w:val="20"/>
                <w:szCs w:val="20"/>
              </w:rPr>
              <w:t>2016</w:t>
            </w:r>
          </w:p>
        </w:tc>
        <w:tc>
          <w:tcPr>
            <w:tcW w:w="1530" w:type="dxa"/>
            <w:vAlign w:val="center"/>
          </w:tcPr>
          <w:p w14:paraId="638D13B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1,111 (46.6%)</w:t>
            </w:r>
          </w:p>
        </w:tc>
        <w:tc>
          <w:tcPr>
            <w:tcW w:w="1530" w:type="dxa"/>
            <w:vAlign w:val="center"/>
          </w:tcPr>
          <w:p w14:paraId="363A7D5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1,394 (44.1%)</w:t>
            </w:r>
          </w:p>
        </w:tc>
        <w:tc>
          <w:tcPr>
            <w:tcW w:w="810" w:type="dxa"/>
            <w:vMerge w:val="restart"/>
            <w:tcBorders>
              <w:right w:val="single" w:sz="4" w:space="0" w:color="auto"/>
            </w:tcBorders>
            <w:vAlign w:val="center"/>
          </w:tcPr>
          <w:p w14:paraId="7CE76A56"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54E76F7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463 (49.9%)</w:t>
            </w:r>
          </w:p>
        </w:tc>
        <w:tc>
          <w:tcPr>
            <w:tcW w:w="1530" w:type="dxa"/>
            <w:vAlign w:val="center"/>
          </w:tcPr>
          <w:p w14:paraId="4DACC6D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1,379 (44.2%)</w:t>
            </w:r>
          </w:p>
        </w:tc>
        <w:tc>
          <w:tcPr>
            <w:tcW w:w="815" w:type="dxa"/>
            <w:vMerge w:val="restart"/>
            <w:vAlign w:val="center"/>
          </w:tcPr>
          <w:p w14:paraId="7854AA99"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6CE45329" w14:textId="77777777" w:rsidTr="001B4366">
        <w:trPr>
          <w:trHeight w:val="331"/>
        </w:trPr>
        <w:tc>
          <w:tcPr>
            <w:tcW w:w="2785" w:type="dxa"/>
            <w:vAlign w:val="center"/>
          </w:tcPr>
          <w:p w14:paraId="1DCC0A7E"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000000"/>
                <w:sz w:val="20"/>
                <w:szCs w:val="20"/>
              </w:rPr>
              <w:t>2017</w:t>
            </w:r>
          </w:p>
        </w:tc>
        <w:tc>
          <w:tcPr>
            <w:tcW w:w="1530" w:type="dxa"/>
            <w:vAlign w:val="center"/>
          </w:tcPr>
          <w:p w14:paraId="37BB543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410 (17.2%)</w:t>
            </w:r>
          </w:p>
        </w:tc>
        <w:tc>
          <w:tcPr>
            <w:tcW w:w="1530" w:type="dxa"/>
            <w:vAlign w:val="center"/>
          </w:tcPr>
          <w:p w14:paraId="289BD1E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482 (15.3%)</w:t>
            </w:r>
          </w:p>
        </w:tc>
        <w:tc>
          <w:tcPr>
            <w:tcW w:w="810" w:type="dxa"/>
            <w:vMerge/>
            <w:tcBorders>
              <w:right w:val="single" w:sz="4" w:space="0" w:color="auto"/>
            </w:tcBorders>
            <w:vAlign w:val="center"/>
          </w:tcPr>
          <w:p w14:paraId="7CCF41CF"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361C8E5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157 (16.9%)</w:t>
            </w:r>
          </w:p>
        </w:tc>
        <w:tc>
          <w:tcPr>
            <w:tcW w:w="1530" w:type="dxa"/>
            <w:vAlign w:val="center"/>
          </w:tcPr>
          <w:p w14:paraId="008CBDD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478 (15.3%)</w:t>
            </w:r>
          </w:p>
        </w:tc>
        <w:tc>
          <w:tcPr>
            <w:tcW w:w="815" w:type="dxa"/>
            <w:vMerge/>
            <w:vAlign w:val="center"/>
          </w:tcPr>
          <w:p w14:paraId="325B1FEB"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0BD348FE" w14:textId="77777777" w:rsidTr="001B4366">
        <w:trPr>
          <w:trHeight w:val="331"/>
        </w:trPr>
        <w:tc>
          <w:tcPr>
            <w:tcW w:w="2785" w:type="dxa"/>
            <w:vAlign w:val="center"/>
          </w:tcPr>
          <w:p w14:paraId="0E573A9B"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000000"/>
                <w:sz w:val="20"/>
                <w:szCs w:val="20"/>
              </w:rPr>
              <w:t>2018</w:t>
            </w:r>
          </w:p>
        </w:tc>
        <w:tc>
          <w:tcPr>
            <w:tcW w:w="1530" w:type="dxa"/>
            <w:vAlign w:val="center"/>
          </w:tcPr>
          <w:p w14:paraId="436FFAF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301 (12.6%)</w:t>
            </w:r>
          </w:p>
        </w:tc>
        <w:tc>
          <w:tcPr>
            <w:tcW w:w="1530" w:type="dxa"/>
            <w:vAlign w:val="center"/>
          </w:tcPr>
          <w:p w14:paraId="39FC9BF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384 (12.2%)</w:t>
            </w:r>
          </w:p>
        </w:tc>
        <w:tc>
          <w:tcPr>
            <w:tcW w:w="810" w:type="dxa"/>
            <w:vMerge/>
            <w:tcBorders>
              <w:right w:val="single" w:sz="4" w:space="0" w:color="auto"/>
            </w:tcBorders>
            <w:vAlign w:val="center"/>
          </w:tcPr>
          <w:p w14:paraId="2AF84DB0"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12C9358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112 (12.1%)</w:t>
            </w:r>
          </w:p>
        </w:tc>
        <w:tc>
          <w:tcPr>
            <w:tcW w:w="1530" w:type="dxa"/>
            <w:vAlign w:val="center"/>
          </w:tcPr>
          <w:p w14:paraId="4C18292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380 (12.2%)</w:t>
            </w:r>
          </w:p>
        </w:tc>
        <w:tc>
          <w:tcPr>
            <w:tcW w:w="815" w:type="dxa"/>
            <w:vMerge/>
            <w:vAlign w:val="center"/>
          </w:tcPr>
          <w:p w14:paraId="55F0A413"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168B7FDB" w14:textId="77777777" w:rsidTr="001B4366">
        <w:trPr>
          <w:trHeight w:val="331"/>
        </w:trPr>
        <w:tc>
          <w:tcPr>
            <w:tcW w:w="2785" w:type="dxa"/>
            <w:vAlign w:val="center"/>
          </w:tcPr>
          <w:p w14:paraId="43A3F4D1"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000000"/>
                <w:sz w:val="20"/>
                <w:szCs w:val="20"/>
              </w:rPr>
              <w:t>2019</w:t>
            </w:r>
          </w:p>
        </w:tc>
        <w:tc>
          <w:tcPr>
            <w:tcW w:w="1530" w:type="dxa"/>
            <w:vAlign w:val="center"/>
          </w:tcPr>
          <w:p w14:paraId="03F3C6C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297 (12.5%)</w:t>
            </w:r>
          </w:p>
        </w:tc>
        <w:tc>
          <w:tcPr>
            <w:tcW w:w="1530" w:type="dxa"/>
            <w:vAlign w:val="center"/>
          </w:tcPr>
          <w:p w14:paraId="3A1D736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345 (10.9%)</w:t>
            </w:r>
          </w:p>
        </w:tc>
        <w:tc>
          <w:tcPr>
            <w:tcW w:w="810" w:type="dxa"/>
            <w:vMerge/>
            <w:tcBorders>
              <w:right w:val="single" w:sz="4" w:space="0" w:color="auto"/>
            </w:tcBorders>
            <w:vAlign w:val="center"/>
          </w:tcPr>
          <w:p w14:paraId="16E0BEE3"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4707D21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102 (11.0%)</w:t>
            </w:r>
          </w:p>
        </w:tc>
        <w:tc>
          <w:tcPr>
            <w:tcW w:w="1530" w:type="dxa"/>
            <w:vAlign w:val="center"/>
          </w:tcPr>
          <w:p w14:paraId="1213D57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340 (10.9%)</w:t>
            </w:r>
          </w:p>
        </w:tc>
        <w:tc>
          <w:tcPr>
            <w:tcW w:w="815" w:type="dxa"/>
            <w:vMerge/>
            <w:vAlign w:val="center"/>
          </w:tcPr>
          <w:p w14:paraId="1DEFE0B0"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490FC024" w14:textId="77777777" w:rsidTr="001B4366">
        <w:trPr>
          <w:trHeight w:val="331"/>
        </w:trPr>
        <w:tc>
          <w:tcPr>
            <w:tcW w:w="2785" w:type="dxa"/>
            <w:vAlign w:val="center"/>
          </w:tcPr>
          <w:p w14:paraId="00B4A5B7"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000000"/>
                <w:sz w:val="20"/>
                <w:szCs w:val="20"/>
              </w:rPr>
              <w:t>2020</w:t>
            </w:r>
          </w:p>
        </w:tc>
        <w:tc>
          <w:tcPr>
            <w:tcW w:w="1530" w:type="dxa"/>
            <w:vAlign w:val="center"/>
          </w:tcPr>
          <w:p w14:paraId="2D4616F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199 (8.4%)</w:t>
            </w:r>
          </w:p>
        </w:tc>
        <w:tc>
          <w:tcPr>
            <w:tcW w:w="1530" w:type="dxa"/>
            <w:vAlign w:val="center"/>
          </w:tcPr>
          <w:p w14:paraId="74EB4E5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355 (11.2%)</w:t>
            </w:r>
          </w:p>
        </w:tc>
        <w:tc>
          <w:tcPr>
            <w:tcW w:w="810" w:type="dxa"/>
            <w:vMerge/>
            <w:tcBorders>
              <w:right w:val="single" w:sz="4" w:space="0" w:color="auto"/>
            </w:tcBorders>
            <w:vAlign w:val="center"/>
          </w:tcPr>
          <w:p w14:paraId="0228E0FF"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tcBorders>
            <w:vAlign w:val="center"/>
          </w:tcPr>
          <w:p w14:paraId="754C44D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72 (7.8%)</w:t>
            </w:r>
          </w:p>
        </w:tc>
        <w:tc>
          <w:tcPr>
            <w:tcW w:w="1530" w:type="dxa"/>
            <w:vAlign w:val="center"/>
          </w:tcPr>
          <w:p w14:paraId="09FAD54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351 (11.3%)</w:t>
            </w:r>
          </w:p>
        </w:tc>
        <w:tc>
          <w:tcPr>
            <w:tcW w:w="815" w:type="dxa"/>
            <w:vMerge/>
            <w:vAlign w:val="center"/>
          </w:tcPr>
          <w:p w14:paraId="76D4495F"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5552066B" w14:textId="77777777" w:rsidTr="001B4366">
        <w:trPr>
          <w:trHeight w:val="331"/>
        </w:trPr>
        <w:tc>
          <w:tcPr>
            <w:tcW w:w="2785" w:type="dxa"/>
            <w:tcBorders>
              <w:bottom w:val="single" w:sz="4" w:space="0" w:color="auto"/>
            </w:tcBorders>
            <w:vAlign w:val="center"/>
          </w:tcPr>
          <w:p w14:paraId="7C4AFE04" w14:textId="77777777" w:rsidR="009E4D77" w:rsidRPr="00B9107F" w:rsidRDefault="009E4D77" w:rsidP="001B4366">
            <w:pPr>
              <w:spacing w:after="0" w:line="240" w:lineRule="auto"/>
              <w:ind w:left="348"/>
              <w:rPr>
                <w:rFonts w:ascii="Times New Roman" w:hAnsi="Times New Roman" w:cs="Times New Roman"/>
                <w:sz w:val="20"/>
                <w:szCs w:val="20"/>
              </w:rPr>
            </w:pPr>
            <w:r w:rsidRPr="00B9107F">
              <w:rPr>
                <w:rFonts w:ascii="Times New Roman" w:hAnsi="Times New Roman" w:cs="Times New Roman"/>
                <w:color w:val="000000"/>
                <w:sz w:val="20"/>
                <w:szCs w:val="20"/>
              </w:rPr>
              <w:t>2021</w:t>
            </w:r>
          </w:p>
        </w:tc>
        <w:tc>
          <w:tcPr>
            <w:tcW w:w="1530" w:type="dxa"/>
            <w:tcBorders>
              <w:bottom w:val="single" w:sz="4" w:space="0" w:color="auto"/>
            </w:tcBorders>
            <w:vAlign w:val="center"/>
          </w:tcPr>
          <w:p w14:paraId="63FFD09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65 (2.7%)</w:t>
            </w:r>
          </w:p>
        </w:tc>
        <w:tc>
          <w:tcPr>
            <w:tcW w:w="1530" w:type="dxa"/>
            <w:tcBorders>
              <w:bottom w:val="single" w:sz="4" w:space="0" w:color="auto"/>
            </w:tcBorders>
            <w:vAlign w:val="center"/>
          </w:tcPr>
          <w:p w14:paraId="67F23BD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199 (6.3%)</w:t>
            </w:r>
          </w:p>
        </w:tc>
        <w:tc>
          <w:tcPr>
            <w:tcW w:w="810" w:type="dxa"/>
            <w:vMerge/>
            <w:tcBorders>
              <w:bottom w:val="single" w:sz="4" w:space="0" w:color="auto"/>
              <w:right w:val="single" w:sz="4" w:space="0" w:color="auto"/>
            </w:tcBorders>
            <w:vAlign w:val="center"/>
          </w:tcPr>
          <w:p w14:paraId="52EECB7F" w14:textId="77777777" w:rsidR="009E4D77" w:rsidRPr="00B9107F" w:rsidRDefault="009E4D77" w:rsidP="001B4366">
            <w:pPr>
              <w:spacing w:after="0" w:line="240" w:lineRule="auto"/>
              <w:jc w:val="center"/>
              <w:rPr>
                <w:rFonts w:ascii="Times New Roman" w:hAnsi="Times New Roman" w:cs="Times New Roman"/>
                <w:sz w:val="20"/>
                <w:szCs w:val="20"/>
              </w:rPr>
            </w:pPr>
          </w:p>
        </w:tc>
        <w:tc>
          <w:tcPr>
            <w:tcW w:w="1530" w:type="dxa"/>
            <w:tcBorders>
              <w:left w:val="single" w:sz="4" w:space="0" w:color="auto"/>
              <w:bottom w:val="single" w:sz="4" w:space="0" w:color="auto"/>
            </w:tcBorders>
            <w:vAlign w:val="center"/>
          </w:tcPr>
          <w:p w14:paraId="2E01B4E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 (2.3%)</w:t>
            </w:r>
          </w:p>
        </w:tc>
        <w:tc>
          <w:tcPr>
            <w:tcW w:w="1530" w:type="dxa"/>
            <w:tcBorders>
              <w:bottom w:val="single" w:sz="4" w:space="0" w:color="auto"/>
            </w:tcBorders>
            <w:vAlign w:val="center"/>
          </w:tcPr>
          <w:p w14:paraId="1286061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192 (6.2%)</w:t>
            </w:r>
          </w:p>
        </w:tc>
        <w:tc>
          <w:tcPr>
            <w:tcW w:w="815" w:type="dxa"/>
            <w:vMerge/>
            <w:tcBorders>
              <w:bottom w:val="single" w:sz="4" w:space="0" w:color="auto"/>
            </w:tcBorders>
            <w:vAlign w:val="center"/>
          </w:tcPr>
          <w:p w14:paraId="3AA48A14" w14:textId="77777777" w:rsidR="009E4D77" w:rsidRPr="00B9107F" w:rsidRDefault="009E4D77" w:rsidP="001B4366">
            <w:pPr>
              <w:spacing w:after="0" w:line="240" w:lineRule="auto"/>
              <w:jc w:val="center"/>
              <w:rPr>
                <w:rFonts w:ascii="Times New Roman" w:hAnsi="Times New Roman" w:cs="Times New Roman"/>
                <w:sz w:val="20"/>
                <w:szCs w:val="20"/>
              </w:rPr>
            </w:pPr>
          </w:p>
        </w:tc>
      </w:tr>
      <w:tr w:rsidR="009E4D77" w:rsidRPr="00B9107F" w14:paraId="32A703E1" w14:textId="77777777" w:rsidTr="001B4366">
        <w:trPr>
          <w:trHeight w:val="331"/>
        </w:trPr>
        <w:tc>
          <w:tcPr>
            <w:tcW w:w="2785" w:type="dxa"/>
            <w:tcBorders>
              <w:top w:val="single" w:sz="4" w:space="0" w:color="auto"/>
              <w:bottom w:val="double" w:sz="4" w:space="0" w:color="auto"/>
            </w:tcBorders>
            <w:vAlign w:val="center"/>
          </w:tcPr>
          <w:p w14:paraId="46CD18F4" w14:textId="77777777" w:rsidR="009E4D77" w:rsidRPr="00B9107F" w:rsidRDefault="009E4D77" w:rsidP="001B4366">
            <w:pPr>
              <w:spacing w:after="0" w:line="240" w:lineRule="auto"/>
              <w:rPr>
                <w:rFonts w:ascii="Times New Roman" w:hAnsi="Times New Roman" w:cs="Times New Roman"/>
                <w:b/>
                <w:bCs/>
                <w:sz w:val="20"/>
                <w:szCs w:val="20"/>
              </w:rPr>
            </w:pPr>
            <w:r w:rsidRPr="00B9107F">
              <w:rPr>
                <w:rFonts w:ascii="Times New Roman" w:hAnsi="Times New Roman" w:cs="Times New Roman"/>
                <w:b/>
                <w:bCs/>
                <w:color w:val="000000"/>
                <w:sz w:val="20"/>
                <w:szCs w:val="20"/>
              </w:rPr>
              <w:t>PBC duration</w:t>
            </w:r>
            <w:r w:rsidRPr="00B9107F">
              <w:rPr>
                <w:rFonts w:ascii="Times New Roman" w:hAnsi="Times New Roman" w:cs="Times New Roman"/>
                <w:b/>
                <w:bCs/>
                <w:color w:val="000000"/>
                <w:sz w:val="20"/>
                <w:szCs w:val="20"/>
                <w:vertAlign w:val="superscript"/>
              </w:rPr>
              <w:t>3</w:t>
            </w:r>
            <w:r w:rsidRPr="00B9107F">
              <w:rPr>
                <w:rFonts w:ascii="Times New Roman" w:hAnsi="Times New Roman" w:cs="Times New Roman"/>
                <w:b/>
                <w:bCs/>
                <w:color w:val="000000"/>
                <w:sz w:val="20"/>
                <w:szCs w:val="20"/>
              </w:rPr>
              <w:t xml:space="preserve"> (months), mean ± SD</w:t>
            </w:r>
          </w:p>
        </w:tc>
        <w:tc>
          <w:tcPr>
            <w:tcW w:w="1530" w:type="dxa"/>
            <w:tcBorders>
              <w:top w:val="single" w:sz="4" w:space="0" w:color="auto"/>
              <w:bottom w:val="double" w:sz="4" w:space="0" w:color="auto"/>
            </w:tcBorders>
            <w:vAlign w:val="center"/>
          </w:tcPr>
          <w:p w14:paraId="4543199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20.4 ± 16.8</w:t>
            </w:r>
          </w:p>
        </w:tc>
        <w:tc>
          <w:tcPr>
            <w:tcW w:w="1530" w:type="dxa"/>
            <w:tcBorders>
              <w:top w:val="single" w:sz="4" w:space="0" w:color="auto"/>
              <w:bottom w:val="double" w:sz="4" w:space="0" w:color="auto"/>
            </w:tcBorders>
            <w:vAlign w:val="center"/>
          </w:tcPr>
          <w:p w14:paraId="3A3889B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16.2 ± 15.3</w:t>
            </w:r>
          </w:p>
        </w:tc>
        <w:tc>
          <w:tcPr>
            <w:tcW w:w="810" w:type="dxa"/>
            <w:tcBorders>
              <w:top w:val="single" w:sz="4" w:space="0" w:color="auto"/>
              <w:bottom w:val="double" w:sz="4" w:space="0" w:color="auto"/>
              <w:right w:val="single" w:sz="4" w:space="0" w:color="auto"/>
            </w:tcBorders>
            <w:vAlign w:val="center"/>
          </w:tcPr>
          <w:p w14:paraId="2609357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0.263</w:t>
            </w:r>
          </w:p>
        </w:tc>
        <w:tc>
          <w:tcPr>
            <w:tcW w:w="1530" w:type="dxa"/>
            <w:tcBorders>
              <w:top w:val="single" w:sz="4" w:space="0" w:color="auto"/>
              <w:left w:val="single" w:sz="4" w:space="0" w:color="auto"/>
              <w:bottom w:val="double" w:sz="4" w:space="0" w:color="auto"/>
            </w:tcBorders>
            <w:vAlign w:val="center"/>
          </w:tcPr>
          <w:p w14:paraId="4A54B7D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21.1 ± 16.9</w:t>
            </w:r>
          </w:p>
        </w:tc>
        <w:tc>
          <w:tcPr>
            <w:tcW w:w="1530" w:type="dxa"/>
            <w:tcBorders>
              <w:top w:val="single" w:sz="4" w:space="0" w:color="auto"/>
              <w:bottom w:val="double" w:sz="4" w:space="0" w:color="auto"/>
            </w:tcBorders>
            <w:vAlign w:val="center"/>
          </w:tcPr>
          <w:p w14:paraId="2F1ED53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16.0 ± 14.8</w:t>
            </w:r>
          </w:p>
        </w:tc>
        <w:tc>
          <w:tcPr>
            <w:tcW w:w="815" w:type="dxa"/>
            <w:tcBorders>
              <w:top w:val="single" w:sz="4" w:space="0" w:color="auto"/>
              <w:bottom w:val="double" w:sz="4" w:space="0" w:color="auto"/>
            </w:tcBorders>
            <w:vAlign w:val="center"/>
          </w:tcPr>
          <w:p w14:paraId="4CE61B0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0.323</w:t>
            </w:r>
          </w:p>
        </w:tc>
      </w:tr>
      <w:tr w:rsidR="009E4D77" w:rsidRPr="00B9107F" w14:paraId="30EF69D7" w14:textId="77777777" w:rsidTr="001B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530" w:type="dxa"/>
            <w:gridSpan w:val="7"/>
            <w:tcBorders>
              <w:top w:val="double" w:sz="4" w:space="0" w:color="auto"/>
              <w:left w:val="nil"/>
              <w:bottom w:val="double" w:sz="4" w:space="0" w:color="auto"/>
              <w:right w:val="nil"/>
            </w:tcBorders>
            <w:shd w:val="clear" w:color="auto" w:fill="E7E6E6" w:themeFill="background2"/>
            <w:vAlign w:val="center"/>
          </w:tcPr>
          <w:p w14:paraId="4C4C94A5" w14:textId="77777777" w:rsidR="009E4D77" w:rsidRPr="00B9107F" w:rsidRDefault="009E4D77" w:rsidP="001B4366">
            <w:pPr>
              <w:spacing w:after="0" w:line="240" w:lineRule="auto"/>
              <w:rPr>
                <w:rFonts w:ascii="Times New Roman" w:hAnsi="Times New Roman" w:cs="Times New Roman"/>
                <w:sz w:val="20"/>
                <w:szCs w:val="20"/>
              </w:rPr>
            </w:pPr>
            <w:r w:rsidRPr="00B9107F">
              <w:rPr>
                <w:rFonts w:ascii="Times New Roman" w:hAnsi="Times New Roman" w:cs="Times New Roman"/>
                <w:b/>
                <w:bCs/>
                <w:sz w:val="20"/>
                <w:szCs w:val="20"/>
              </w:rPr>
              <w:t>Comorbidities</w:t>
            </w:r>
          </w:p>
        </w:tc>
      </w:tr>
      <w:tr w:rsidR="009E4D77" w:rsidRPr="00B9107F" w14:paraId="636A944B" w14:textId="77777777" w:rsidTr="001B4366">
        <w:trPr>
          <w:trHeight w:val="331"/>
        </w:trPr>
        <w:tc>
          <w:tcPr>
            <w:tcW w:w="2785" w:type="dxa"/>
            <w:tcBorders>
              <w:top w:val="double" w:sz="4" w:space="0" w:color="auto"/>
              <w:bottom w:val="double" w:sz="4" w:space="0" w:color="auto"/>
            </w:tcBorders>
            <w:vAlign w:val="center"/>
          </w:tcPr>
          <w:p w14:paraId="6BBC2629" w14:textId="77777777" w:rsidR="009E4D77" w:rsidRPr="00B9107F" w:rsidRDefault="009E4D77" w:rsidP="001B4366">
            <w:pPr>
              <w:spacing w:after="0" w:line="240" w:lineRule="auto"/>
              <w:rPr>
                <w:rFonts w:ascii="Times New Roman" w:hAnsi="Times New Roman" w:cs="Times New Roman"/>
                <w:b/>
                <w:bCs/>
                <w:sz w:val="20"/>
                <w:szCs w:val="20"/>
              </w:rPr>
            </w:pPr>
            <w:r w:rsidRPr="00B9107F">
              <w:rPr>
                <w:rFonts w:ascii="Times New Roman" w:hAnsi="Times New Roman" w:cs="Times New Roman"/>
                <w:b/>
                <w:bCs/>
                <w:color w:val="231F20"/>
                <w:sz w:val="20"/>
                <w:szCs w:val="20"/>
              </w:rPr>
              <w:t>CCI,</w:t>
            </w:r>
            <w:r w:rsidRPr="00B9107F">
              <w:rPr>
                <w:rFonts w:ascii="Times New Roman" w:hAnsi="Times New Roman" w:cs="Times New Roman"/>
                <w:b/>
                <w:bCs/>
                <w:color w:val="231F20"/>
                <w:sz w:val="20"/>
                <w:szCs w:val="20"/>
                <w:vertAlign w:val="superscript"/>
              </w:rPr>
              <w:t>4</w:t>
            </w:r>
            <w:r w:rsidRPr="00B9107F">
              <w:rPr>
                <w:rFonts w:ascii="Times New Roman" w:hAnsi="Times New Roman" w:cs="Times New Roman"/>
                <w:b/>
                <w:bCs/>
                <w:color w:val="231F20"/>
                <w:sz w:val="20"/>
                <w:szCs w:val="20"/>
              </w:rPr>
              <w:t xml:space="preserve"> mean ± SD</w:t>
            </w:r>
          </w:p>
        </w:tc>
        <w:tc>
          <w:tcPr>
            <w:tcW w:w="1530" w:type="dxa"/>
            <w:tcBorders>
              <w:top w:val="double" w:sz="4" w:space="0" w:color="auto"/>
              <w:bottom w:val="double" w:sz="4" w:space="0" w:color="auto"/>
            </w:tcBorders>
            <w:vAlign w:val="center"/>
          </w:tcPr>
          <w:p w14:paraId="2C10D08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3.2 ± 1.9</w:t>
            </w:r>
          </w:p>
        </w:tc>
        <w:tc>
          <w:tcPr>
            <w:tcW w:w="1530" w:type="dxa"/>
            <w:tcBorders>
              <w:top w:val="double" w:sz="4" w:space="0" w:color="auto"/>
              <w:bottom w:val="double" w:sz="4" w:space="0" w:color="auto"/>
            </w:tcBorders>
            <w:vAlign w:val="center"/>
          </w:tcPr>
          <w:p w14:paraId="1C1DB38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2.6 ± 1.3</w:t>
            </w:r>
          </w:p>
        </w:tc>
        <w:tc>
          <w:tcPr>
            <w:tcW w:w="810" w:type="dxa"/>
            <w:tcBorders>
              <w:top w:val="double" w:sz="4" w:space="0" w:color="auto"/>
              <w:bottom w:val="double" w:sz="4" w:space="0" w:color="auto"/>
              <w:right w:val="single" w:sz="4" w:space="0" w:color="auto"/>
            </w:tcBorders>
            <w:vAlign w:val="center"/>
          </w:tcPr>
          <w:p w14:paraId="3A7CF0A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0.364</w:t>
            </w:r>
          </w:p>
        </w:tc>
        <w:tc>
          <w:tcPr>
            <w:tcW w:w="1530" w:type="dxa"/>
            <w:tcBorders>
              <w:top w:val="double" w:sz="4" w:space="0" w:color="auto"/>
              <w:left w:val="single" w:sz="4" w:space="0" w:color="auto"/>
              <w:bottom w:val="double" w:sz="4" w:space="0" w:color="auto"/>
            </w:tcBorders>
            <w:vAlign w:val="center"/>
          </w:tcPr>
          <w:p w14:paraId="6628E96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3.1 ± 1.7</w:t>
            </w:r>
          </w:p>
        </w:tc>
        <w:tc>
          <w:tcPr>
            <w:tcW w:w="1530" w:type="dxa"/>
            <w:tcBorders>
              <w:top w:val="double" w:sz="4" w:space="0" w:color="auto"/>
              <w:bottom w:val="double" w:sz="4" w:space="0" w:color="auto"/>
            </w:tcBorders>
            <w:vAlign w:val="center"/>
          </w:tcPr>
          <w:p w14:paraId="4A8EA06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2.6 ± 1.4</w:t>
            </w:r>
          </w:p>
        </w:tc>
        <w:tc>
          <w:tcPr>
            <w:tcW w:w="815" w:type="dxa"/>
            <w:tcBorders>
              <w:top w:val="double" w:sz="4" w:space="0" w:color="auto"/>
              <w:bottom w:val="double" w:sz="4" w:space="0" w:color="auto"/>
            </w:tcBorders>
            <w:vAlign w:val="center"/>
          </w:tcPr>
          <w:p w14:paraId="5CAC920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color w:val="000000"/>
                <w:sz w:val="20"/>
                <w:szCs w:val="20"/>
              </w:rPr>
              <w:t>0.301</w:t>
            </w:r>
          </w:p>
        </w:tc>
      </w:tr>
      <w:tr w:rsidR="009E4D77" w:rsidRPr="00B9107F" w14:paraId="33574832" w14:textId="77777777" w:rsidTr="001B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530" w:type="dxa"/>
            <w:gridSpan w:val="7"/>
            <w:tcBorders>
              <w:top w:val="double" w:sz="4" w:space="0" w:color="auto"/>
              <w:left w:val="nil"/>
              <w:bottom w:val="double" w:sz="4" w:space="0" w:color="auto"/>
              <w:right w:val="nil"/>
            </w:tcBorders>
            <w:shd w:val="clear" w:color="auto" w:fill="E7E6E6" w:themeFill="background2"/>
            <w:vAlign w:val="center"/>
          </w:tcPr>
          <w:p w14:paraId="0AC7F038" w14:textId="77777777" w:rsidR="009E4D77" w:rsidRPr="00B9107F" w:rsidRDefault="009E4D77" w:rsidP="001B4366">
            <w:pPr>
              <w:spacing w:after="0" w:line="240" w:lineRule="auto"/>
              <w:rPr>
                <w:rFonts w:ascii="Times New Roman" w:hAnsi="Times New Roman" w:cs="Times New Roman"/>
                <w:b/>
                <w:bCs/>
                <w:sz w:val="20"/>
                <w:szCs w:val="20"/>
              </w:rPr>
            </w:pPr>
            <w:r w:rsidRPr="00B9107F">
              <w:rPr>
                <w:rFonts w:ascii="Times New Roman" w:hAnsi="Times New Roman" w:cs="Times New Roman"/>
                <w:b/>
                <w:bCs/>
                <w:color w:val="231F20"/>
                <w:sz w:val="20"/>
                <w:szCs w:val="20"/>
              </w:rPr>
              <w:t>Comorbid liver complications, n (%)</w:t>
            </w:r>
          </w:p>
        </w:tc>
      </w:tr>
      <w:tr w:rsidR="009E4D77" w:rsidRPr="00B9107F" w14:paraId="42FB73DA" w14:textId="77777777" w:rsidTr="001B4366">
        <w:trPr>
          <w:trHeight w:val="331"/>
        </w:trPr>
        <w:tc>
          <w:tcPr>
            <w:tcW w:w="2785" w:type="dxa"/>
            <w:tcBorders>
              <w:top w:val="double" w:sz="4" w:space="0" w:color="auto"/>
              <w:bottom w:val="single" w:sz="4" w:space="0" w:color="auto"/>
            </w:tcBorders>
            <w:vAlign w:val="center"/>
          </w:tcPr>
          <w:p w14:paraId="36797451"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Abnormal liver test</w:t>
            </w:r>
          </w:p>
        </w:tc>
        <w:tc>
          <w:tcPr>
            <w:tcW w:w="1530" w:type="dxa"/>
            <w:tcBorders>
              <w:top w:val="double" w:sz="4" w:space="0" w:color="auto"/>
              <w:bottom w:val="single" w:sz="4" w:space="0" w:color="auto"/>
            </w:tcBorders>
            <w:vAlign w:val="center"/>
          </w:tcPr>
          <w:p w14:paraId="6C700C3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539 (22.6%)</w:t>
            </w:r>
          </w:p>
        </w:tc>
        <w:tc>
          <w:tcPr>
            <w:tcW w:w="1530" w:type="dxa"/>
            <w:tcBorders>
              <w:top w:val="double" w:sz="4" w:space="0" w:color="auto"/>
              <w:bottom w:val="single" w:sz="4" w:space="0" w:color="auto"/>
            </w:tcBorders>
            <w:vAlign w:val="center"/>
          </w:tcPr>
          <w:p w14:paraId="219143B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636 (20.1%)</w:t>
            </w:r>
          </w:p>
        </w:tc>
        <w:tc>
          <w:tcPr>
            <w:tcW w:w="810" w:type="dxa"/>
            <w:tcBorders>
              <w:top w:val="double" w:sz="4" w:space="0" w:color="auto"/>
              <w:bottom w:val="single" w:sz="4" w:space="0" w:color="auto"/>
              <w:right w:val="single" w:sz="4" w:space="0" w:color="auto"/>
            </w:tcBorders>
            <w:vAlign w:val="center"/>
          </w:tcPr>
          <w:p w14:paraId="5CDFA41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0.061</w:t>
            </w:r>
          </w:p>
        </w:tc>
        <w:tc>
          <w:tcPr>
            <w:tcW w:w="1530" w:type="dxa"/>
            <w:tcBorders>
              <w:top w:val="double" w:sz="4" w:space="0" w:color="auto"/>
              <w:left w:val="single" w:sz="4" w:space="0" w:color="auto"/>
              <w:bottom w:val="single" w:sz="4" w:space="0" w:color="auto"/>
            </w:tcBorders>
            <w:vAlign w:val="center"/>
          </w:tcPr>
          <w:p w14:paraId="0AA5D8D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231 (24.9%)</w:t>
            </w:r>
          </w:p>
        </w:tc>
        <w:tc>
          <w:tcPr>
            <w:tcW w:w="1530" w:type="dxa"/>
            <w:tcBorders>
              <w:top w:val="double" w:sz="4" w:space="0" w:color="auto"/>
              <w:bottom w:val="single" w:sz="4" w:space="0" w:color="auto"/>
            </w:tcBorders>
            <w:vAlign w:val="center"/>
          </w:tcPr>
          <w:p w14:paraId="177BD66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636 (20.4%)</w:t>
            </w:r>
          </w:p>
        </w:tc>
        <w:tc>
          <w:tcPr>
            <w:tcW w:w="815" w:type="dxa"/>
            <w:tcBorders>
              <w:top w:val="double" w:sz="4" w:space="0" w:color="auto"/>
              <w:bottom w:val="single" w:sz="4" w:space="0" w:color="auto"/>
            </w:tcBorders>
            <w:vAlign w:val="center"/>
          </w:tcPr>
          <w:p w14:paraId="04DD907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0.108</w:t>
            </w:r>
          </w:p>
        </w:tc>
      </w:tr>
      <w:tr w:rsidR="009E4D77" w:rsidRPr="00B9107F" w14:paraId="36C38A61" w14:textId="77777777" w:rsidTr="001B4366">
        <w:trPr>
          <w:trHeight w:val="331"/>
        </w:trPr>
        <w:tc>
          <w:tcPr>
            <w:tcW w:w="2785" w:type="dxa"/>
            <w:tcBorders>
              <w:top w:val="single" w:sz="4" w:space="0" w:color="auto"/>
              <w:bottom w:val="single" w:sz="4" w:space="0" w:color="auto"/>
            </w:tcBorders>
            <w:vAlign w:val="center"/>
          </w:tcPr>
          <w:p w14:paraId="43985780"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Cirrhosis</w:t>
            </w:r>
          </w:p>
        </w:tc>
        <w:tc>
          <w:tcPr>
            <w:tcW w:w="1530" w:type="dxa"/>
            <w:tcBorders>
              <w:top w:val="single" w:sz="4" w:space="0" w:color="auto"/>
              <w:bottom w:val="single" w:sz="4" w:space="0" w:color="auto"/>
            </w:tcBorders>
            <w:vAlign w:val="center"/>
          </w:tcPr>
          <w:p w14:paraId="4661932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685 (28.7%)</w:t>
            </w:r>
          </w:p>
        </w:tc>
        <w:tc>
          <w:tcPr>
            <w:tcW w:w="1530" w:type="dxa"/>
            <w:tcBorders>
              <w:top w:val="single" w:sz="4" w:space="0" w:color="auto"/>
              <w:bottom w:val="single" w:sz="4" w:space="0" w:color="auto"/>
            </w:tcBorders>
            <w:vAlign w:val="center"/>
          </w:tcPr>
          <w:p w14:paraId="28572E3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590 (18.7%)</w:t>
            </w:r>
          </w:p>
        </w:tc>
        <w:tc>
          <w:tcPr>
            <w:tcW w:w="810" w:type="dxa"/>
            <w:tcBorders>
              <w:top w:val="single" w:sz="4" w:space="0" w:color="auto"/>
              <w:bottom w:val="single" w:sz="4" w:space="0" w:color="auto"/>
              <w:right w:val="single" w:sz="4" w:space="0" w:color="auto"/>
            </w:tcBorders>
            <w:vAlign w:val="center"/>
          </w:tcPr>
          <w:p w14:paraId="3394AEC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0.238</w:t>
            </w:r>
          </w:p>
        </w:tc>
        <w:tc>
          <w:tcPr>
            <w:tcW w:w="1530" w:type="dxa"/>
            <w:tcBorders>
              <w:top w:val="single" w:sz="4" w:space="0" w:color="auto"/>
              <w:left w:val="single" w:sz="4" w:space="0" w:color="auto"/>
              <w:bottom w:val="single" w:sz="4" w:space="0" w:color="auto"/>
            </w:tcBorders>
            <w:vAlign w:val="center"/>
          </w:tcPr>
          <w:p w14:paraId="6A02B88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263 (28.4%)</w:t>
            </w:r>
          </w:p>
        </w:tc>
        <w:tc>
          <w:tcPr>
            <w:tcW w:w="1530" w:type="dxa"/>
            <w:tcBorders>
              <w:top w:val="single" w:sz="4" w:space="0" w:color="auto"/>
              <w:bottom w:val="single" w:sz="4" w:space="0" w:color="auto"/>
            </w:tcBorders>
            <w:vAlign w:val="center"/>
          </w:tcPr>
          <w:p w14:paraId="056CF20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585 (18.8%)</w:t>
            </w:r>
          </w:p>
        </w:tc>
        <w:tc>
          <w:tcPr>
            <w:tcW w:w="815" w:type="dxa"/>
            <w:tcBorders>
              <w:top w:val="single" w:sz="4" w:space="0" w:color="auto"/>
              <w:bottom w:val="single" w:sz="4" w:space="0" w:color="auto"/>
            </w:tcBorders>
            <w:vAlign w:val="center"/>
          </w:tcPr>
          <w:p w14:paraId="3F8D9CC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0.228</w:t>
            </w:r>
          </w:p>
        </w:tc>
      </w:tr>
      <w:tr w:rsidR="009E4D77" w:rsidRPr="00B9107F" w14:paraId="7AAE6943" w14:textId="77777777" w:rsidTr="001B4366">
        <w:trPr>
          <w:trHeight w:val="331"/>
        </w:trPr>
        <w:tc>
          <w:tcPr>
            <w:tcW w:w="2785" w:type="dxa"/>
            <w:tcBorders>
              <w:top w:val="single" w:sz="4" w:space="0" w:color="auto"/>
              <w:bottom w:val="single" w:sz="4" w:space="0" w:color="auto"/>
            </w:tcBorders>
            <w:vAlign w:val="center"/>
          </w:tcPr>
          <w:p w14:paraId="06A08528"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Autoimmune hepatitis</w:t>
            </w:r>
          </w:p>
        </w:tc>
        <w:tc>
          <w:tcPr>
            <w:tcW w:w="1530" w:type="dxa"/>
            <w:tcBorders>
              <w:top w:val="single" w:sz="4" w:space="0" w:color="auto"/>
              <w:bottom w:val="single" w:sz="4" w:space="0" w:color="auto"/>
            </w:tcBorders>
            <w:vAlign w:val="center"/>
          </w:tcPr>
          <w:p w14:paraId="572101C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297 (12.5%)</w:t>
            </w:r>
          </w:p>
        </w:tc>
        <w:tc>
          <w:tcPr>
            <w:tcW w:w="1530" w:type="dxa"/>
            <w:tcBorders>
              <w:top w:val="single" w:sz="4" w:space="0" w:color="auto"/>
              <w:bottom w:val="single" w:sz="4" w:space="0" w:color="auto"/>
            </w:tcBorders>
            <w:vAlign w:val="center"/>
          </w:tcPr>
          <w:p w14:paraId="284F377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328 (10.4%)</w:t>
            </w:r>
          </w:p>
        </w:tc>
        <w:tc>
          <w:tcPr>
            <w:tcW w:w="810" w:type="dxa"/>
            <w:tcBorders>
              <w:top w:val="single" w:sz="4" w:space="0" w:color="auto"/>
              <w:bottom w:val="single" w:sz="4" w:space="0" w:color="auto"/>
              <w:right w:val="single" w:sz="4" w:space="0" w:color="auto"/>
            </w:tcBorders>
            <w:vAlign w:val="center"/>
          </w:tcPr>
          <w:p w14:paraId="020FC53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0.065</w:t>
            </w:r>
          </w:p>
        </w:tc>
        <w:tc>
          <w:tcPr>
            <w:tcW w:w="1530" w:type="dxa"/>
            <w:tcBorders>
              <w:top w:val="single" w:sz="4" w:space="0" w:color="auto"/>
              <w:left w:val="single" w:sz="4" w:space="0" w:color="auto"/>
              <w:bottom w:val="single" w:sz="4" w:space="0" w:color="auto"/>
            </w:tcBorders>
            <w:vAlign w:val="center"/>
          </w:tcPr>
          <w:p w14:paraId="320CD76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128 (13.8%)</w:t>
            </w:r>
          </w:p>
        </w:tc>
        <w:tc>
          <w:tcPr>
            <w:tcW w:w="1530" w:type="dxa"/>
            <w:tcBorders>
              <w:top w:val="single" w:sz="4" w:space="0" w:color="auto"/>
              <w:bottom w:val="single" w:sz="4" w:space="0" w:color="auto"/>
            </w:tcBorders>
            <w:vAlign w:val="center"/>
          </w:tcPr>
          <w:p w14:paraId="31B01B6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335 (10.7%)</w:t>
            </w:r>
          </w:p>
        </w:tc>
        <w:tc>
          <w:tcPr>
            <w:tcW w:w="815" w:type="dxa"/>
            <w:tcBorders>
              <w:top w:val="single" w:sz="4" w:space="0" w:color="auto"/>
              <w:bottom w:val="single" w:sz="4" w:space="0" w:color="auto"/>
            </w:tcBorders>
            <w:vAlign w:val="center"/>
          </w:tcPr>
          <w:p w14:paraId="4C191E5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0.094</w:t>
            </w:r>
          </w:p>
        </w:tc>
      </w:tr>
      <w:tr w:rsidR="009E4D77" w:rsidRPr="00B9107F" w14:paraId="070C140C" w14:textId="77777777" w:rsidTr="001B4366">
        <w:trPr>
          <w:trHeight w:val="331"/>
        </w:trPr>
        <w:tc>
          <w:tcPr>
            <w:tcW w:w="2785" w:type="dxa"/>
            <w:tcBorders>
              <w:top w:val="single" w:sz="4" w:space="0" w:color="auto"/>
              <w:bottom w:val="single" w:sz="4" w:space="0" w:color="auto"/>
            </w:tcBorders>
            <w:vAlign w:val="center"/>
          </w:tcPr>
          <w:p w14:paraId="1009383D"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Portal hypertension</w:t>
            </w:r>
          </w:p>
        </w:tc>
        <w:tc>
          <w:tcPr>
            <w:tcW w:w="1530" w:type="dxa"/>
            <w:tcBorders>
              <w:top w:val="single" w:sz="4" w:space="0" w:color="auto"/>
              <w:bottom w:val="single" w:sz="4" w:space="0" w:color="auto"/>
            </w:tcBorders>
            <w:vAlign w:val="center"/>
          </w:tcPr>
          <w:p w14:paraId="4CBF2A3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280 (11.7%)</w:t>
            </w:r>
          </w:p>
        </w:tc>
        <w:tc>
          <w:tcPr>
            <w:tcW w:w="1530" w:type="dxa"/>
            <w:tcBorders>
              <w:top w:val="single" w:sz="4" w:space="0" w:color="auto"/>
              <w:bottom w:val="single" w:sz="4" w:space="0" w:color="auto"/>
            </w:tcBorders>
            <w:vAlign w:val="center"/>
          </w:tcPr>
          <w:p w14:paraId="5CC45B3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187 (5.9%)</w:t>
            </w:r>
          </w:p>
        </w:tc>
        <w:tc>
          <w:tcPr>
            <w:tcW w:w="810" w:type="dxa"/>
            <w:tcBorders>
              <w:top w:val="single" w:sz="4" w:space="0" w:color="auto"/>
              <w:bottom w:val="single" w:sz="4" w:space="0" w:color="auto"/>
              <w:right w:val="single" w:sz="4" w:space="0" w:color="auto"/>
            </w:tcBorders>
            <w:vAlign w:val="center"/>
          </w:tcPr>
          <w:p w14:paraId="73EB82B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0.207</w:t>
            </w:r>
          </w:p>
        </w:tc>
        <w:tc>
          <w:tcPr>
            <w:tcW w:w="1530" w:type="dxa"/>
            <w:tcBorders>
              <w:top w:val="single" w:sz="4" w:space="0" w:color="auto"/>
              <w:left w:val="single" w:sz="4" w:space="0" w:color="auto"/>
              <w:bottom w:val="single" w:sz="4" w:space="0" w:color="auto"/>
            </w:tcBorders>
            <w:vAlign w:val="center"/>
          </w:tcPr>
          <w:p w14:paraId="2D02F33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124 (13.4%)</w:t>
            </w:r>
          </w:p>
        </w:tc>
        <w:tc>
          <w:tcPr>
            <w:tcW w:w="1530" w:type="dxa"/>
            <w:tcBorders>
              <w:top w:val="single" w:sz="4" w:space="0" w:color="auto"/>
              <w:bottom w:val="single" w:sz="4" w:space="0" w:color="auto"/>
            </w:tcBorders>
            <w:vAlign w:val="center"/>
          </w:tcPr>
          <w:p w14:paraId="6538353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196 (6.3%)</w:t>
            </w:r>
          </w:p>
        </w:tc>
        <w:tc>
          <w:tcPr>
            <w:tcW w:w="815" w:type="dxa"/>
            <w:tcBorders>
              <w:top w:val="single" w:sz="4" w:space="0" w:color="auto"/>
              <w:bottom w:val="single" w:sz="4" w:space="0" w:color="auto"/>
            </w:tcBorders>
            <w:vAlign w:val="center"/>
          </w:tcPr>
          <w:p w14:paraId="385DF1A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0.240</w:t>
            </w:r>
          </w:p>
        </w:tc>
      </w:tr>
      <w:tr w:rsidR="009E4D77" w:rsidRPr="00B9107F" w14:paraId="5732A2D9" w14:textId="77777777" w:rsidTr="001B4366">
        <w:trPr>
          <w:trHeight w:val="331"/>
        </w:trPr>
        <w:tc>
          <w:tcPr>
            <w:tcW w:w="2785" w:type="dxa"/>
            <w:tcBorders>
              <w:top w:val="single" w:sz="4" w:space="0" w:color="auto"/>
              <w:bottom w:val="single" w:sz="4" w:space="0" w:color="auto"/>
            </w:tcBorders>
            <w:vAlign w:val="center"/>
          </w:tcPr>
          <w:p w14:paraId="7569C050"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lastRenderedPageBreak/>
              <w:t>Primary sclerosing cholangitis</w:t>
            </w:r>
          </w:p>
        </w:tc>
        <w:tc>
          <w:tcPr>
            <w:tcW w:w="1530" w:type="dxa"/>
            <w:tcBorders>
              <w:top w:val="single" w:sz="4" w:space="0" w:color="auto"/>
              <w:bottom w:val="single" w:sz="4" w:space="0" w:color="auto"/>
            </w:tcBorders>
            <w:vAlign w:val="center"/>
          </w:tcPr>
          <w:p w14:paraId="7503A07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119 (5.0%)</w:t>
            </w:r>
          </w:p>
        </w:tc>
        <w:tc>
          <w:tcPr>
            <w:tcW w:w="1530" w:type="dxa"/>
            <w:tcBorders>
              <w:top w:val="single" w:sz="4" w:space="0" w:color="auto"/>
              <w:bottom w:val="single" w:sz="4" w:space="0" w:color="auto"/>
            </w:tcBorders>
            <w:vAlign w:val="center"/>
          </w:tcPr>
          <w:p w14:paraId="2730DD1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99 (3.1%)</w:t>
            </w:r>
          </w:p>
        </w:tc>
        <w:tc>
          <w:tcPr>
            <w:tcW w:w="810" w:type="dxa"/>
            <w:tcBorders>
              <w:top w:val="single" w:sz="4" w:space="0" w:color="auto"/>
              <w:bottom w:val="single" w:sz="4" w:space="0" w:color="auto"/>
              <w:right w:val="single" w:sz="4" w:space="0" w:color="auto"/>
            </w:tcBorders>
            <w:vAlign w:val="center"/>
          </w:tcPr>
          <w:p w14:paraId="189F653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0.094</w:t>
            </w:r>
          </w:p>
        </w:tc>
        <w:tc>
          <w:tcPr>
            <w:tcW w:w="1530" w:type="dxa"/>
            <w:tcBorders>
              <w:top w:val="single" w:sz="4" w:space="0" w:color="auto"/>
              <w:left w:val="single" w:sz="4" w:space="0" w:color="auto"/>
              <w:bottom w:val="single" w:sz="4" w:space="0" w:color="auto"/>
            </w:tcBorders>
            <w:vAlign w:val="center"/>
          </w:tcPr>
          <w:p w14:paraId="35FA09D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65 (7.0%)</w:t>
            </w:r>
          </w:p>
        </w:tc>
        <w:tc>
          <w:tcPr>
            <w:tcW w:w="1530" w:type="dxa"/>
            <w:tcBorders>
              <w:top w:val="single" w:sz="4" w:space="0" w:color="auto"/>
              <w:bottom w:val="single" w:sz="4" w:space="0" w:color="auto"/>
            </w:tcBorders>
            <w:vAlign w:val="center"/>
          </w:tcPr>
          <w:p w14:paraId="5457DB9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99 (3.2%)</w:t>
            </w:r>
          </w:p>
        </w:tc>
        <w:tc>
          <w:tcPr>
            <w:tcW w:w="815" w:type="dxa"/>
            <w:tcBorders>
              <w:top w:val="single" w:sz="4" w:space="0" w:color="auto"/>
              <w:bottom w:val="single" w:sz="4" w:space="0" w:color="auto"/>
            </w:tcBorders>
            <w:vAlign w:val="center"/>
          </w:tcPr>
          <w:p w14:paraId="4990E87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0.175</w:t>
            </w:r>
          </w:p>
        </w:tc>
      </w:tr>
      <w:tr w:rsidR="009E4D77" w:rsidRPr="00B9107F" w14:paraId="60F061FC" w14:textId="77777777" w:rsidTr="001B4366">
        <w:trPr>
          <w:trHeight w:val="331"/>
        </w:trPr>
        <w:tc>
          <w:tcPr>
            <w:tcW w:w="2785" w:type="dxa"/>
            <w:tcBorders>
              <w:top w:val="single" w:sz="4" w:space="0" w:color="auto"/>
              <w:bottom w:val="single" w:sz="4" w:space="0" w:color="auto"/>
            </w:tcBorders>
            <w:vAlign w:val="center"/>
          </w:tcPr>
          <w:p w14:paraId="4C9E5093"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Chronic hepatitis NOS</w:t>
            </w:r>
          </w:p>
        </w:tc>
        <w:tc>
          <w:tcPr>
            <w:tcW w:w="1530" w:type="dxa"/>
            <w:tcBorders>
              <w:top w:val="single" w:sz="4" w:space="0" w:color="auto"/>
              <w:bottom w:val="single" w:sz="4" w:space="0" w:color="auto"/>
            </w:tcBorders>
            <w:vAlign w:val="center"/>
          </w:tcPr>
          <w:p w14:paraId="7085E6E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64 (2.7%)</w:t>
            </w:r>
          </w:p>
        </w:tc>
        <w:tc>
          <w:tcPr>
            <w:tcW w:w="1530" w:type="dxa"/>
            <w:tcBorders>
              <w:top w:val="single" w:sz="4" w:space="0" w:color="auto"/>
              <w:bottom w:val="single" w:sz="4" w:space="0" w:color="auto"/>
            </w:tcBorders>
            <w:vAlign w:val="center"/>
          </w:tcPr>
          <w:p w14:paraId="5BF7FB0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96 (3.0%)</w:t>
            </w:r>
          </w:p>
        </w:tc>
        <w:tc>
          <w:tcPr>
            <w:tcW w:w="810" w:type="dxa"/>
            <w:tcBorders>
              <w:top w:val="single" w:sz="4" w:space="0" w:color="auto"/>
              <w:bottom w:val="single" w:sz="4" w:space="0" w:color="auto"/>
              <w:right w:val="single" w:sz="4" w:space="0" w:color="auto"/>
            </w:tcBorders>
            <w:vAlign w:val="center"/>
          </w:tcPr>
          <w:p w14:paraId="5366A7A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0.021</w:t>
            </w:r>
          </w:p>
        </w:tc>
        <w:tc>
          <w:tcPr>
            <w:tcW w:w="1530" w:type="dxa"/>
            <w:tcBorders>
              <w:top w:val="single" w:sz="4" w:space="0" w:color="auto"/>
              <w:left w:val="single" w:sz="4" w:space="0" w:color="auto"/>
              <w:bottom w:val="single" w:sz="4" w:space="0" w:color="auto"/>
            </w:tcBorders>
            <w:vAlign w:val="center"/>
          </w:tcPr>
          <w:p w14:paraId="243A25D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28 (3.0%)</w:t>
            </w:r>
          </w:p>
        </w:tc>
        <w:tc>
          <w:tcPr>
            <w:tcW w:w="1530" w:type="dxa"/>
            <w:tcBorders>
              <w:top w:val="single" w:sz="4" w:space="0" w:color="auto"/>
              <w:bottom w:val="single" w:sz="4" w:space="0" w:color="auto"/>
            </w:tcBorders>
            <w:vAlign w:val="center"/>
          </w:tcPr>
          <w:p w14:paraId="65CA1B6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89 (2.9%)</w:t>
            </w:r>
          </w:p>
        </w:tc>
        <w:tc>
          <w:tcPr>
            <w:tcW w:w="815" w:type="dxa"/>
            <w:tcBorders>
              <w:top w:val="single" w:sz="4" w:space="0" w:color="auto"/>
              <w:bottom w:val="single" w:sz="4" w:space="0" w:color="auto"/>
            </w:tcBorders>
            <w:vAlign w:val="center"/>
          </w:tcPr>
          <w:p w14:paraId="1589C25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0.010</w:t>
            </w:r>
          </w:p>
        </w:tc>
      </w:tr>
      <w:tr w:rsidR="009E4D77" w:rsidRPr="00B9107F" w14:paraId="758A16B5" w14:textId="77777777" w:rsidTr="001B4366">
        <w:trPr>
          <w:trHeight w:val="331"/>
        </w:trPr>
        <w:tc>
          <w:tcPr>
            <w:tcW w:w="2785" w:type="dxa"/>
            <w:tcBorders>
              <w:top w:val="single" w:sz="4" w:space="0" w:color="auto"/>
              <w:bottom w:val="single" w:sz="4" w:space="0" w:color="auto"/>
            </w:tcBorders>
            <w:vAlign w:val="center"/>
          </w:tcPr>
          <w:p w14:paraId="00EBE21C"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 xml:space="preserve">Liver fibrosis </w:t>
            </w:r>
          </w:p>
        </w:tc>
        <w:tc>
          <w:tcPr>
            <w:tcW w:w="1530" w:type="dxa"/>
            <w:tcBorders>
              <w:top w:val="single" w:sz="4" w:space="0" w:color="auto"/>
              <w:bottom w:val="single" w:sz="4" w:space="0" w:color="auto"/>
            </w:tcBorders>
            <w:vAlign w:val="center"/>
          </w:tcPr>
          <w:p w14:paraId="744DEC5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45 (1.9%)</w:t>
            </w:r>
          </w:p>
        </w:tc>
        <w:tc>
          <w:tcPr>
            <w:tcW w:w="1530" w:type="dxa"/>
            <w:tcBorders>
              <w:top w:val="single" w:sz="4" w:space="0" w:color="auto"/>
              <w:bottom w:val="single" w:sz="4" w:space="0" w:color="auto"/>
            </w:tcBorders>
            <w:vAlign w:val="center"/>
          </w:tcPr>
          <w:p w14:paraId="6C6FB65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55 (1.7%)</w:t>
            </w:r>
          </w:p>
        </w:tc>
        <w:tc>
          <w:tcPr>
            <w:tcW w:w="810" w:type="dxa"/>
            <w:tcBorders>
              <w:top w:val="single" w:sz="4" w:space="0" w:color="auto"/>
              <w:bottom w:val="single" w:sz="4" w:space="0" w:color="auto"/>
              <w:right w:val="single" w:sz="4" w:space="0" w:color="auto"/>
            </w:tcBorders>
            <w:vAlign w:val="center"/>
          </w:tcPr>
          <w:p w14:paraId="14B327F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0.011</w:t>
            </w:r>
          </w:p>
        </w:tc>
        <w:tc>
          <w:tcPr>
            <w:tcW w:w="1530" w:type="dxa"/>
            <w:tcBorders>
              <w:top w:val="single" w:sz="4" w:space="0" w:color="auto"/>
              <w:left w:val="single" w:sz="4" w:space="0" w:color="auto"/>
              <w:bottom w:val="single" w:sz="4" w:space="0" w:color="auto"/>
            </w:tcBorders>
            <w:vAlign w:val="center"/>
          </w:tcPr>
          <w:p w14:paraId="3810C1B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24 (2.6%)</w:t>
            </w:r>
          </w:p>
        </w:tc>
        <w:tc>
          <w:tcPr>
            <w:tcW w:w="1530" w:type="dxa"/>
            <w:tcBorders>
              <w:top w:val="single" w:sz="4" w:space="0" w:color="auto"/>
              <w:bottom w:val="single" w:sz="4" w:space="0" w:color="auto"/>
            </w:tcBorders>
            <w:vAlign w:val="center"/>
          </w:tcPr>
          <w:p w14:paraId="75E3550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55 (1.8%)</w:t>
            </w:r>
          </w:p>
        </w:tc>
        <w:tc>
          <w:tcPr>
            <w:tcW w:w="815" w:type="dxa"/>
            <w:tcBorders>
              <w:top w:val="single" w:sz="4" w:space="0" w:color="auto"/>
              <w:bottom w:val="single" w:sz="4" w:space="0" w:color="auto"/>
            </w:tcBorders>
            <w:vAlign w:val="center"/>
          </w:tcPr>
          <w:p w14:paraId="2D42C4F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0.057</w:t>
            </w:r>
          </w:p>
        </w:tc>
      </w:tr>
      <w:tr w:rsidR="009E4D77" w:rsidRPr="00B9107F" w14:paraId="559E8A3D" w14:textId="77777777" w:rsidTr="001B4366">
        <w:trPr>
          <w:trHeight w:val="331"/>
        </w:trPr>
        <w:tc>
          <w:tcPr>
            <w:tcW w:w="2785" w:type="dxa"/>
            <w:tcBorders>
              <w:top w:val="single" w:sz="4" w:space="0" w:color="auto"/>
              <w:bottom w:val="double" w:sz="4" w:space="0" w:color="auto"/>
            </w:tcBorders>
            <w:vAlign w:val="center"/>
          </w:tcPr>
          <w:p w14:paraId="4D9610B2"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sz w:val="20"/>
                <w:szCs w:val="20"/>
              </w:rPr>
              <w:t>Cholecystitis</w:t>
            </w:r>
          </w:p>
        </w:tc>
        <w:tc>
          <w:tcPr>
            <w:tcW w:w="1530" w:type="dxa"/>
            <w:tcBorders>
              <w:top w:val="single" w:sz="4" w:space="0" w:color="auto"/>
              <w:bottom w:val="double" w:sz="4" w:space="0" w:color="auto"/>
            </w:tcBorders>
            <w:vAlign w:val="center"/>
          </w:tcPr>
          <w:p w14:paraId="110B48B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50 (2.1%)</w:t>
            </w:r>
          </w:p>
        </w:tc>
        <w:tc>
          <w:tcPr>
            <w:tcW w:w="1530" w:type="dxa"/>
            <w:tcBorders>
              <w:top w:val="single" w:sz="4" w:space="0" w:color="auto"/>
              <w:bottom w:val="double" w:sz="4" w:space="0" w:color="auto"/>
            </w:tcBorders>
            <w:vAlign w:val="center"/>
          </w:tcPr>
          <w:p w14:paraId="78F17C5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33 (1.0%)</w:t>
            </w:r>
          </w:p>
        </w:tc>
        <w:tc>
          <w:tcPr>
            <w:tcW w:w="810" w:type="dxa"/>
            <w:tcBorders>
              <w:top w:val="single" w:sz="4" w:space="0" w:color="auto"/>
              <w:bottom w:val="double" w:sz="4" w:space="0" w:color="auto"/>
              <w:right w:val="single" w:sz="4" w:space="0" w:color="auto"/>
            </w:tcBorders>
            <w:vAlign w:val="center"/>
          </w:tcPr>
          <w:p w14:paraId="633B994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0.085</w:t>
            </w:r>
          </w:p>
        </w:tc>
        <w:tc>
          <w:tcPr>
            <w:tcW w:w="1530" w:type="dxa"/>
            <w:tcBorders>
              <w:top w:val="single" w:sz="4" w:space="0" w:color="auto"/>
              <w:left w:val="single" w:sz="4" w:space="0" w:color="auto"/>
              <w:bottom w:val="double" w:sz="4" w:space="0" w:color="auto"/>
            </w:tcBorders>
            <w:vAlign w:val="center"/>
          </w:tcPr>
          <w:p w14:paraId="00740EE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 (1.3%)</w:t>
            </w:r>
          </w:p>
        </w:tc>
        <w:tc>
          <w:tcPr>
            <w:tcW w:w="1530" w:type="dxa"/>
            <w:tcBorders>
              <w:top w:val="single" w:sz="4" w:space="0" w:color="auto"/>
              <w:bottom w:val="double" w:sz="4" w:space="0" w:color="auto"/>
            </w:tcBorders>
            <w:vAlign w:val="center"/>
          </w:tcPr>
          <w:p w14:paraId="7F6BE8F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30 (1.0%)</w:t>
            </w:r>
          </w:p>
        </w:tc>
        <w:tc>
          <w:tcPr>
            <w:tcW w:w="815" w:type="dxa"/>
            <w:tcBorders>
              <w:top w:val="single" w:sz="4" w:space="0" w:color="auto"/>
              <w:bottom w:val="double" w:sz="4" w:space="0" w:color="auto"/>
            </w:tcBorders>
            <w:vAlign w:val="center"/>
          </w:tcPr>
          <w:p w14:paraId="69D6198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0.032</w:t>
            </w:r>
          </w:p>
        </w:tc>
      </w:tr>
      <w:tr w:rsidR="009E4D77" w:rsidRPr="00B9107F" w14:paraId="734538B6" w14:textId="77777777" w:rsidTr="001B43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1"/>
        </w:trPr>
        <w:tc>
          <w:tcPr>
            <w:tcW w:w="10530" w:type="dxa"/>
            <w:gridSpan w:val="7"/>
            <w:tcBorders>
              <w:top w:val="double" w:sz="4" w:space="0" w:color="auto"/>
              <w:left w:val="nil"/>
              <w:bottom w:val="double" w:sz="4" w:space="0" w:color="auto"/>
              <w:right w:val="nil"/>
            </w:tcBorders>
            <w:shd w:val="clear" w:color="auto" w:fill="E7E6E6" w:themeFill="background2"/>
            <w:vAlign w:val="center"/>
          </w:tcPr>
          <w:p w14:paraId="3E2A2E76" w14:textId="77777777" w:rsidR="009E4D77" w:rsidRPr="00B9107F" w:rsidRDefault="009E4D77" w:rsidP="001B4366">
            <w:pPr>
              <w:spacing w:after="0" w:line="240" w:lineRule="auto"/>
              <w:rPr>
                <w:rFonts w:ascii="Times New Roman" w:hAnsi="Times New Roman" w:cs="Times New Roman"/>
                <w:b/>
                <w:bCs/>
                <w:sz w:val="20"/>
                <w:szCs w:val="20"/>
              </w:rPr>
            </w:pPr>
            <w:r w:rsidRPr="00B9107F">
              <w:rPr>
                <w:rFonts w:ascii="Times New Roman" w:hAnsi="Times New Roman" w:cs="Times New Roman"/>
                <w:b/>
                <w:bCs/>
                <w:color w:val="231F20"/>
                <w:sz w:val="20"/>
                <w:szCs w:val="20"/>
              </w:rPr>
              <w:t>Other comorbidities, n (%)</w:t>
            </w:r>
          </w:p>
        </w:tc>
      </w:tr>
      <w:tr w:rsidR="009E4D77" w:rsidRPr="00B9107F" w14:paraId="6A8E9CBD" w14:textId="77777777" w:rsidTr="001B4366">
        <w:trPr>
          <w:trHeight w:val="331"/>
        </w:trPr>
        <w:tc>
          <w:tcPr>
            <w:tcW w:w="2785" w:type="dxa"/>
            <w:tcBorders>
              <w:top w:val="double" w:sz="4" w:space="0" w:color="auto"/>
              <w:bottom w:val="single" w:sz="4" w:space="0" w:color="auto"/>
            </w:tcBorders>
            <w:vAlign w:val="center"/>
          </w:tcPr>
          <w:p w14:paraId="419D81C6"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Pruritus</w:t>
            </w:r>
          </w:p>
        </w:tc>
        <w:tc>
          <w:tcPr>
            <w:tcW w:w="1530" w:type="dxa"/>
            <w:tcBorders>
              <w:top w:val="double" w:sz="4" w:space="0" w:color="auto"/>
              <w:bottom w:val="single" w:sz="4" w:space="0" w:color="auto"/>
            </w:tcBorders>
            <w:vAlign w:val="center"/>
          </w:tcPr>
          <w:p w14:paraId="528852E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232 (9.7%)</w:t>
            </w:r>
          </w:p>
        </w:tc>
        <w:tc>
          <w:tcPr>
            <w:tcW w:w="1530" w:type="dxa"/>
            <w:tcBorders>
              <w:top w:val="double" w:sz="4" w:space="0" w:color="auto"/>
              <w:bottom w:val="single" w:sz="4" w:space="0" w:color="auto"/>
            </w:tcBorders>
            <w:vAlign w:val="center"/>
          </w:tcPr>
          <w:p w14:paraId="52E08CA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 (0.0%)</w:t>
            </w:r>
          </w:p>
        </w:tc>
        <w:tc>
          <w:tcPr>
            <w:tcW w:w="810" w:type="dxa"/>
            <w:tcBorders>
              <w:top w:val="double" w:sz="4" w:space="0" w:color="auto"/>
              <w:bottom w:val="single" w:sz="4" w:space="0" w:color="auto"/>
              <w:right w:val="single" w:sz="4" w:space="0" w:color="auto"/>
            </w:tcBorders>
            <w:vAlign w:val="center"/>
          </w:tcPr>
          <w:p w14:paraId="0B80D9B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0.464</w:t>
            </w:r>
          </w:p>
        </w:tc>
        <w:tc>
          <w:tcPr>
            <w:tcW w:w="1530" w:type="dxa"/>
            <w:tcBorders>
              <w:top w:val="double" w:sz="4" w:space="0" w:color="auto"/>
              <w:left w:val="single" w:sz="4" w:space="0" w:color="auto"/>
              <w:bottom w:val="single" w:sz="4" w:space="0" w:color="auto"/>
            </w:tcBorders>
            <w:vAlign w:val="center"/>
          </w:tcPr>
          <w:p w14:paraId="692DA67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332 (35.8%)</w:t>
            </w:r>
          </w:p>
        </w:tc>
        <w:tc>
          <w:tcPr>
            <w:tcW w:w="1530" w:type="dxa"/>
            <w:tcBorders>
              <w:top w:val="double" w:sz="4" w:space="0" w:color="auto"/>
              <w:bottom w:val="single" w:sz="4" w:space="0" w:color="auto"/>
            </w:tcBorders>
            <w:vAlign w:val="center"/>
          </w:tcPr>
          <w:p w14:paraId="1757DA4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 (0.0%)</w:t>
            </w:r>
          </w:p>
        </w:tc>
        <w:tc>
          <w:tcPr>
            <w:tcW w:w="815" w:type="dxa"/>
            <w:tcBorders>
              <w:top w:val="double" w:sz="4" w:space="0" w:color="auto"/>
              <w:bottom w:val="single" w:sz="4" w:space="0" w:color="auto"/>
            </w:tcBorders>
            <w:vAlign w:val="center"/>
          </w:tcPr>
          <w:p w14:paraId="205EA93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1.056</w:t>
            </w:r>
          </w:p>
        </w:tc>
      </w:tr>
      <w:tr w:rsidR="009E4D77" w:rsidRPr="00B9107F" w14:paraId="5AE444D9" w14:textId="77777777" w:rsidTr="001B4366">
        <w:trPr>
          <w:trHeight w:val="331"/>
        </w:trPr>
        <w:tc>
          <w:tcPr>
            <w:tcW w:w="2785" w:type="dxa"/>
            <w:tcBorders>
              <w:top w:val="single" w:sz="4" w:space="0" w:color="auto"/>
              <w:bottom w:val="single" w:sz="4" w:space="0" w:color="auto"/>
            </w:tcBorders>
            <w:vAlign w:val="center"/>
          </w:tcPr>
          <w:p w14:paraId="7C1FDEDD"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Fatigue</w:t>
            </w:r>
          </w:p>
        </w:tc>
        <w:tc>
          <w:tcPr>
            <w:tcW w:w="1530" w:type="dxa"/>
            <w:tcBorders>
              <w:top w:val="single" w:sz="4" w:space="0" w:color="auto"/>
              <w:bottom w:val="single" w:sz="4" w:space="0" w:color="auto"/>
            </w:tcBorders>
            <w:vAlign w:val="center"/>
          </w:tcPr>
          <w:p w14:paraId="6DB5CD2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819 (34.4%)</w:t>
            </w:r>
          </w:p>
        </w:tc>
        <w:tc>
          <w:tcPr>
            <w:tcW w:w="1530" w:type="dxa"/>
            <w:tcBorders>
              <w:top w:val="single" w:sz="4" w:space="0" w:color="auto"/>
              <w:bottom w:val="single" w:sz="4" w:space="0" w:color="auto"/>
            </w:tcBorders>
            <w:vAlign w:val="center"/>
          </w:tcPr>
          <w:p w14:paraId="728D322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 (0.0%)</w:t>
            </w:r>
          </w:p>
        </w:tc>
        <w:tc>
          <w:tcPr>
            <w:tcW w:w="810" w:type="dxa"/>
            <w:tcBorders>
              <w:top w:val="single" w:sz="4" w:space="0" w:color="auto"/>
              <w:bottom w:val="single" w:sz="4" w:space="0" w:color="auto"/>
              <w:right w:val="single" w:sz="4" w:space="0" w:color="auto"/>
            </w:tcBorders>
            <w:vAlign w:val="center"/>
          </w:tcPr>
          <w:p w14:paraId="2DC9F74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1.023</w:t>
            </w:r>
          </w:p>
        </w:tc>
        <w:tc>
          <w:tcPr>
            <w:tcW w:w="1530" w:type="dxa"/>
            <w:tcBorders>
              <w:top w:val="single" w:sz="4" w:space="0" w:color="auto"/>
              <w:left w:val="single" w:sz="4" w:space="0" w:color="auto"/>
              <w:bottom w:val="single" w:sz="4" w:space="0" w:color="auto"/>
            </w:tcBorders>
            <w:vAlign w:val="center"/>
          </w:tcPr>
          <w:p w14:paraId="38205B6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220 (23.7%)</w:t>
            </w:r>
          </w:p>
        </w:tc>
        <w:tc>
          <w:tcPr>
            <w:tcW w:w="1530" w:type="dxa"/>
            <w:tcBorders>
              <w:top w:val="single" w:sz="4" w:space="0" w:color="auto"/>
              <w:bottom w:val="single" w:sz="4" w:space="0" w:color="auto"/>
            </w:tcBorders>
            <w:vAlign w:val="center"/>
          </w:tcPr>
          <w:p w14:paraId="4C5F348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 (0.0%)</w:t>
            </w:r>
          </w:p>
        </w:tc>
        <w:tc>
          <w:tcPr>
            <w:tcW w:w="815" w:type="dxa"/>
            <w:tcBorders>
              <w:top w:val="single" w:sz="4" w:space="0" w:color="auto"/>
              <w:bottom w:val="single" w:sz="4" w:space="0" w:color="auto"/>
            </w:tcBorders>
            <w:vAlign w:val="center"/>
          </w:tcPr>
          <w:p w14:paraId="7B6E8B5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0.789</w:t>
            </w:r>
          </w:p>
        </w:tc>
      </w:tr>
      <w:tr w:rsidR="009E4D77" w:rsidRPr="00B9107F" w14:paraId="3136E28A" w14:textId="77777777" w:rsidTr="001B4366">
        <w:trPr>
          <w:trHeight w:val="331"/>
        </w:trPr>
        <w:tc>
          <w:tcPr>
            <w:tcW w:w="2785" w:type="dxa"/>
            <w:tcBorders>
              <w:top w:val="single" w:sz="4" w:space="0" w:color="auto"/>
              <w:bottom w:val="single" w:sz="4" w:space="0" w:color="auto"/>
            </w:tcBorders>
            <w:vAlign w:val="center"/>
          </w:tcPr>
          <w:p w14:paraId="0232142C"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Dyslipidemia</w:t>
            </w:r>
          </w:p>
        </w:tc>
        <w:tc>
          <w:tcPr>
            <w:tcW w:w="1530" w:type="dxa"/>
            <w:tcBorders>
              <w:top w:val="single" w:sz="4" w:space="0" w:color="auto"/>
              <w:bottom w:val="single" w:sz="4" w:space="0" w:color="auto"/>
            </w:tcBorders>
            <w:vAlign w:val="center"/>
          </w:tcPr>
          <w:p w14:paraId="563C9F9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1,099 (46.1%)</w:t>
            </w:r>
          </w:p>
        </w:tc>
        <w:tc>
          <w:tcPr>
            <w:tcW w:w="1530" w:type="dxa"/>
            <w:tcBorders>
              <w:top w:val="single" w:sz="4" w:space="0" w:color="auto"/>
              <w:bottom w:val="single" w:sz="4" w:space="0" w:color="auto"/>
            </w:tcBorders>
            <w:vAlign w:val="center"/>
          </w:tcPr>
          <w:p w14:paraId="6EC277B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1,261 (39.9%)</w:t>
            </w:r>
          </w:p>
        </w:tc>
        <w:tc>
          <w:tcPr>
            <w:tcW w:w="810" w:type="dxa"/>
            <w:tcBorders>
              <w:top w:val="single" w:sz="4" w:space="0" w:color="auto"/>
              <w:bottom w:val="single" w:sz="4" w:space="0" w:color="auto"/>
              <w:right w:val="single" w:sz="4" w:space="0" w:color="auto"/>
            </w:tcBorders>
            <w:vAlign w:val="center"/>
          </w:tcPr>
          <w:p w14:paraId="3578540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0.125</w:t>
            </w:r>
          </w:p>
        </w:tc>
        <w:tc>
          <w:tcPr>
            <w:tcW w:w="1530" w:type="dxa"/>
            <w:tcBorders>
              <w:top w:val="single" w:sz="4" w:space="0" w:color="auto"/>
              <w:left w:val="single" w:sz="4" w:space="0" w:color="auto"/>
              <w:bottom w:val="single" w:sz="4" w:space="0" w:color="auto"/>
            </w:tcBorders>
            <w:vAlign w:val="center"/>
          </w:tcPr>
          <w:p w14:paraId="643C0CD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391 (42.2%)</w:t>
            </w:r>
          </w:p>
        </w:tc>
        <w:tc>
          <w:tcPr>
            <w:tcW w:w="1530" w:type="dxa"/>
            <w:tcBorders>
              <w:top w:val="single" w:sz="4" w:space="0" w:color="auto"/>
              <w:bottom w:val="single" w:sz="4" w:space="0" w:color="auto"/>
            </w:tcBorders>
            <w:vAlign w:val="center"/>
          </w:tcPr>
          <w:p w14:paraId="6EC6A4A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1,254 (40.2%)</w:t>
            </w:r>
          </w:p>
        </w:tc>
        <w:tc>
          <w:tcPr>
            <w:tcW w:w="815" w:type="dxa"/>
            <w:tcBorders>
              <w:top w:val="single" w:sz="4" w:space="0" w:color="auto"/>
              <w:bottom w:val="single" w:sz="4" w:space="0" w:color="auto"/>
            </w:tcBorders>
            <w:vAlign w:val="center"/>
          </w:tcPr>
          <w:p w14:paraId="55A8364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0.040</w:t>
            </w:r>
          </w:p>
        </w:tc>
      </w:tr>
      <w:tr w:rsidR="009E4D77" w:rsidRPr="00B9107F" w14:paraId="15D1D35D" w14:textId="77777777" w:rsidTr="001B4366">
        <w:trPr>
          <w:trHeight w:val="331"/>
        </w:trPr>
        <w:tc>
          <w:tcPr>
            <w:tcW w:w="2785" w:type="dxa"/>
            <w:tcBorders>
              <w:top w:val="single" w:sz="4" w:space="0" w:color="auto"/>
              <w:bottom w:val="single" w:sz="4" w:space="0" w:color="auto"/>
            </w:tcBorders>
            <w:vAlign w:val="center"/>
          </w:tcPr>
          <w:p w14:paraId="219D8A12"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Hypertension</w:t>
            </w:r>
          </w:p>
        </w:tc>
        <w:tc>
          <w:tcPr>
            <w:tcW w:w="1530" w:type="dxa"/>
            <w:tcBorders>
              <w:top w:val="single" w:sz="4" w:space="0" w:color="auto"/>
              <w:bottom w:val="single" w:sz="4" w:space="0" w:color="auto"/>
            </w:tcBorders>
            <w:vAlign w:val="center"/>
          </w:tcPr>
          <w:p w14:paraId="33C6A86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1,100 (46.2%)</w:t>
            </w:r>
          </w:p>
        </w:tc>
        <w:tc>
          <w:tcPr>
            <w:tcW w:w="1530" w:type="dxa"/>
            <w:tcBorders>
              <w:top w:val="single" w:sz="4" w:space="0" w:color="auto"/>
              <w:bottom w:val="single" w:sz="4" w:space="0" w:color="auto"/>
            </w:tcBorders>
            <w:vAlign w:val="center"/>
          </w:tcPr>
          <w:p w14:paraId="67369B4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1,193 (37.8%)</w:t>
            </w:r>
          </w:p>
        </w:tc>
        <w:tc>
          <w:tcPr>
            <w:tcW w:w="810" w:type="dxa"/>
            <w:tcBorders>
              <w:top w:val="single" w:sz="4" w:space="0" w:color="auto"/>
              <w:bottom w:val="single" w:sz="4" w:space="0" w:color="auto"/>
              <w:right w:val="single" w:sz="4" w:space="0" w:color="auto"/>
            </w:tcBorders>
            <w:vAlign w:val="center"/>
          </w:tcPr>
          <w:p w14:paraId="34EEFCC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0.171</w:t>
            </w:r>
          </w:p>
        </w:tc>
        <w:tc>
          <w:tcPr>
            <w:tcW w:w="1530" w:type="dxa"/>
            <w:tcBorders>
              <w:top w:val="single" w:sz="4" w:space="0" w:color="auto"/>
              <w:left w:val="single" w:sz="4" w:space="0" w:color="auto"/>
              <w:bottom w:val="single" w:sz="4" w:space="0" w:color="auto"/>
            </w:tcBorders>
            <w:vAlign w:val="center"/>
          </w:tcPr>
          <w:p w14:paraId="4F645B4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389 (42.0%)</w:t>
            </w:r>
          </w:p>
        </w:tc>
        <w:tc>
          <w:tcPr>
            <w:tcW w:w="1530" w:type="dxa"/>
            <w:tcBorders>
              <w:top w:val="single" w:sz="4" w:space="0" w:color="auto"/>
              <w:bottom w:val="single" w:sz="4" w:space="0" w:color="auto"/>
            </w:tcBorders>
            <w:vAlign w:val="center"/>
          </w:tcPr>
          <w:p w14:paraId="580E655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1,188 (38.1%)</w:t>
            </w:r>
          </w:p>
        </w:tc>
        <w:tc>
          <w:tcPr>
            <w:tcW w:w="815" w:type="dxa"/>
            <w:tcBorders>
              <w:top w:val="single" w:sz="4" w:space="0" w:color="auto"/>
              <w:bottom w:val="single" w:sz="4" w:space="0" w:color="auto"/>
            </w:tcBorders>
            <w:vAlign w:val="center"/>
          </w:tcPr>
          <w:p w14:paraId="3B53B84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0.079</w:t>
            </w:r>
          </w:p>
        </w:tc>
      </w:tr>
      <w:tr w:rsidR="009E4D77" w:rsidRPr="00B9107F" w14:paraId="5B2E9010" w14:textId="77777777" w:rsidTr="001B4366">
        <w:trPr>
          <w:trHeight w:val="331"/>
        </w:trPr>
        <w:tc>
          <w:tcPr>
            <w:tcW w:w="2785" w:type="dxa"/>
            <w:tcBorders>
              <w:top w:val="single" w:sz="4" w:space="0" w:color="auto"/>
              <w:bottom w:val="single" w:sz="4" w:space="0" w:color="auto"/>
            </w:tcBorders>
            <w:vAlign w:val="center"/>
          </w:tcPr>
          <w:p w14:paraId="2DA66084"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Anxiety</w:t>
            </w:r>
          </w:p>
        </w:tc>
        <w:tc>
          <w:tcPr>
            <w:tcW w:w="1530" w:type="dxa"/>
            <w:tcBorders>
              <w:top w:val="single" w:sz="4" w:space="0" w:color="auto"/>
              <w:bottom w:val="single" w:sz="4" w:space="0" w:color="auto"/>
            </w:tcBorders>
            <w:vAlign w:val="center"/>
          </w:tcPr>
          <w:p w14:paraId="62D1779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581 (24.4%)</w:t>
            </w:r>
          </w:p>
        </w:tc>
        <w:tc>
          <w:tcPr>
            <w:tcW w:w="1530" w:type="dxa"/>
            <w:tcBorders>
              <w:top w:val="single" w:sz="4" w:space="0" w:color="auto"/>
              <w:bottom w:val="single" w:sz="4" w:space="0" w:color="auto"/>
            </w:tcBorders>
            <w:vAlign w:val="center"/>
          </w:tcPr>
          <w:p w14:paraId="18E62C0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449 (14.2%)</w:t>
            </w:r>
          </w:p>
        </w:tc>
        <w:tc>
          <w:tcPr>
            <w:tcW w:w="810" w:type="dxa"/>
            <w:tcBorders>
              <w:top w:val="single" w:sz="4" w:space="0" w:color="auto"/>
              <w:bottom w:val="single" w:sz="4" w:space="0" w:color="auto"/>
              <w:right w:val="single" w:sz="4" w:space="0" w:color="auto"/>
            </w:tcBorders>
            <w:vAlign w:val="center"/>
          </w:tcPr>
          <w:p w14:paraId="5133132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0.260</w:t>
            </w:r>
          </w:p>
        </w:tc>
        <w:tc>
          <w:tcPr>
            <w:tcW w:w="1530" w:type="dxa"/>
            <w:tcBorders>
              <w:top w:val="single" w:sz="4" w:space="0" w:color="auto"/>
              <w:left w:val="single" w:sz="4" w:space="0" w:color="auto"/>
              <w:bottom w:val="single" w:sz="4" w:space="0" w:color="auto"/>
            </w:tcBorders>
            <w:vAlign w:val="center"/>
          </w:tcPr>
          <w:p w14:paraId="2F71C0F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200 (21.6%)</w:t>
            </w:r>
          </w:p>
        </w:tc>
        <w:tc>
          <w:tcPr>
            <w:tcW w:w="1530" w:type="dxa"/>
            <w:tcBorders>
              <w:top w:val="single" w:sz="4" w:space="0" w:color="auto"/>
              <w:bottom w:val="single" w:sz="4" w:space="0" w:color="auto"/>
            </w:tcBorders>
            <w:vAlign w:val="center"/>
          </w:tcPr>
          <w:p w14:paraId="3A05883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461 (14.8%)</w:t>
            </w:r>
          </w:p>
        </w:tc>
        <w:tc>
          <w:tcPr>
            <w:tcW w:w="815" w:type="dxa"/>
            <w:tcBorders>
              <w:top w:val="single" w:sz="4" w:space="0" w:color="auto"/>
              <w:bottom w:val="single" w:sz="4" w:space="0" w:color="auto"/>
            </w:tcBorders>
            <w:vAlign w:val="center"/>
          </w:tcPr>
          <w:p w14:paraId="0148A6A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0.177</w:t>
            </w:r>
          </w:p>
        </w:tc>
      </w:tr>
      <w:tr w:rsidR="009E4D77" w:rsidRPr="00B9107F" w14:paraId="1E6556FA" w14:textId="77777777" w:rsidTr="001B4366">
        <w:trPr>
          <w:trHeight w:val="331"/>
        </w:trPr>
        <w:tc>
          <w:tcPr>
            <w:tcW w:w="2785" w:type="dxa"/>
            <w:tcBorders>
              <w:top w:val="single" w:sz="4" w:space="0" w:color="auto"/>
              <w:bottom w:val="single" w:sz="4" w:space="0" w:color="auto"/>
            </w:tcBorders>
            <w:vAlign w:val="center"/>
          </w:tcPr>
          <w:p w14:paraId="24599A85"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Type 2 diabetes</w:t>
            </w:r>
          </w:p>
        </w:tc>
        <w:tc>
          <w:tcPr>
            <w:tcW w:w="1530" w:type="dxa"/>
            <w:tcBorders>
              <w:top w:val="single" w:sz="4" w:space="0" w:color="auto"/>
              <w:bottom w:val="single" w:sz="4" w:space="0" w:color="auto"/>
            </w:tcBorders>
            <w:vAlign w:val="center"/>
          </w:tcPr>
          <w:p w14:paraId="1C89A40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476 (20.0%)</w:t>
            </w:r>
          </w:p>
        </w:tc>
        <w:tc>
          <w:tcPr>
            <w:tcW w:w="1530" w:type="dxa"/>
            <w:tcBorders>
              <w:top w:val="single" w:sz="4" w:space="0" w:color="auto"/>
              <w:bottom w:val="single" w:sz="4" w:space="0" w:color="auto"/>
            </w:tcBorders>
            <w:vAlign w:val="center"/>
          </w:tcPr>
          <w:p w14:paraId="6767685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458 (14.5%)</w:t>
            </w:r>
          </w:p>
        </w:tc>
        <w:tc>
          <w:tcPr>
            <w:tcW w:w="810" w:type="dxa"/>
            <w:tcBorders>
              <w:top w:val="single" w:sz="4" w:space="0" w:color="auto"/>
              <w:bottom w:val="single" w:sz="4" w:space="0" w:color="auto"/>
              <w:right w:val="single" w:sz="4" w:space="0" w:color="auto"/>
            </w:tcBorders>
            <w:vAlign w:val="center"/>
          </w:tcPr>
          <w:p w14:paraId="051B388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0.145</w:t>
            </w:r>
          </w:p>
        </w:tc>
        <w:tc>
          <w:tcPr>
            <w:tcW w:w="1530" w:type="dxa"/>
            <w:tcBorders>
              <w:top w:val="single" w:sz="4" w:space="0" w:color="auto"/>
              <w:left w:val="single" w:sz="4" w:space="0" w:color="auto"/>
              <w:bottom w:val="single" w:sz="4" w:space="0" w:color="auto"/>
            </w:tcBorders>
            <w:vAlign w:val="center"/>
          </w:tcPr>
          <w:p w14:paraId="0054B29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154 (16.6%)</w:t>
            </w:r>
          </w:p>
        </w:tc>
        <w:tc>
          <w:tcPr>
            <w:tcW w:w="1530" w:type="dxa"/>
            <w:tcBorders>
              <w:top w:val="single" w:sz="4" w:space="0" w:color="auto"/>
              <w:bottom w:val="single" w:sz="4" w:space="0" w:color="auto"/>
            </w:tcBorders>
            <w:vAlign w:val="center"/>
          </w:tcPr>
          <w:p w14:paraId="4C53338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444 (14.2%)</w:t>
            </w:r>
          </w:p>
        </w:tc>
        <w:tc>
          <w:tcPr>
            <w:tcW w:w="815" w:type="dxa"/>
            <w:tcBorders>
              <w:top w:val="single" w:sz="4" w:space="0" w:color="auto"/>
              <w:bottom w:val="single" w:sz="4" w:space="0" w:color="auto"/>
            </w:tcBorders>
            <w:vAlign w:val="center"/>
          </w:tcPr>
          <w:p w14:paraId="2EEB92A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0.066</w:t>
            </w:r>
          </w:p>
        </w:tc>
      </w:tr>
      <w:tr w:rsidR="009E4D77" w:rsidRPr="00B9107F" w14:paraId="6CAF7841" w14:textId="77777777" w:rsidTr="001B4366">
        <w:trPr>
          <w:trHeight w:val="331"/>
        </w:trPr>
        <w:tc>
          <w:tcPr>
            <w:tcW w:w="2785" w:type="dxa"/>
            <w:tcBorders>
              <w:top w:val="single" w:sz="4" w:space="0" w:color="auto"/>
              <w:bottom w:val="single" w:sz="4" w:space="0" w:color="auto"/>
            </w:tcBorders>
            <w:vAlign w:val="center"/>
          </w:tcPr>
          <w:p w14:paraId="30C66D8B"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Depression</w:t>
            </w:r>
          </w:p>
        </w:tc>
        <w:tc>
          <w:tcPr>
            <w:tcW w:w="1530" w:type="dxa"/>
            <w:tcBorders>
              <w:top w:val="single" w:sz="4" w:space="0" w:color="auto"/>
              <w:bottom w:val="single" w:sz="4" w:space="0" w:color="auto"/>
            </w:tcBorders>
            <w:vAlign w:val="center"/>
          </w:tcPr>
          <w:p w14:paraId="4765343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513 (21.5%)</w:t>
            </w:r>
          </w:p>
        </w:tc>
        <w:tc>
          <w:tcPr>
            <w:tcW w:w="1530" w:type="dxa"/>
            <w:tcBorders>
              <w:top w:val="single" w:sz="4" w:space="0" w:color="auto"/>
              <w:bottom w:val="single" w:sz="4" w:space="0" w:color="auto"/>
            </w:tcBorders>
            <w:vAlign w:val="center"/>
          </w:tcPr>
          <w:p w14:paraId="109180E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341 (10.8%)</w:t>
            </w:r>
          </w:p>
        </w:tc>
        <w:tc>
          <w:tcPr>
            <w:tcW w:w="810" w:type="dxa"/>
            <w:tcBorders>
              <w:top w:val="single" w:sz="4" w:space="0" w:color="auto"/>
              <w:bottom w:val="single" w:sz="4" w:space="0" w:color="auto"/>
              <w:right w:val="single" w:sz="4" w:space="0" w:color="auto"/>
            </w:tcBorders>
            <w:vAlign w:val="center"/>
          </w:tcPr>
          <w:p w14:paraId="390A934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0.295</w:t>
            </w:r>
          </w:p>
        </w:tc>
        <w:tc>
          <w:tcPr>
            <w:tcW w:w="1530" w:type="dxa"/>
            <w:tcBorders>
              <w:top w:val="single" w:sz="4" w:space="0" w:color="auto"/>
              <w:left w:val="single" w:sz="4" w:space="0" w:color="auto"/>
              <w:bottom w:val="single" w:sz="4" w:space="0" w:color="auto"/>
            </w:tcBorders>
            <w:vAlign w:val="center"/>
          </w:tcPr>
          <w:p w14:paraId="65C0EC9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175 (18.9%)</w:t>
            </w:r>
          </w:p>
        </w:tc>
        <w:tc>
          <w:tcPr>
            <w:tcW w:w="1530" w:type="dxa"/>
            <w:tcBorders>
              <w:top w:val="single" w:sz="4" w:space="0" w:color="auto"/>
              <w:bottom w:val="single" w:sz="4" w:space="0" w:color="auto"/>
            </w:tcBorders>
            <w:vAlign w:val="center"/>
          </w:tcPr>
          <w:p w14:paraId="35409ED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341 (10.9%)</w:t>
            </w:r>
          </w:p>
        </w:tc>
        <w:tc>
          <w:tcPr>
            <w:tcW w:w="815" w:type="dxa"/>
            <w:tcBorders>
              <w:top w:val="single" w:sz="4" w:space="0" w:color="auto"/>
              <w:bottom w:val="single" w:sz="4" w:space="0" w:color="auto"/>
            </w:tcBorders>
            <w:vAlign w:val="center"/>
          </w:tcPr>
          <w:p w14:paraId="0B19827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0.225</w:t>
            </w:r>
          </w:p>
        </w:tc>
      </w:tr>
      <w:tr w:rsidR="009E4D77" w:rsidRPr="00B9107F" w14:paraId="470D8455" w14:textId="77777777" w:rsidTr="001B4366">
        <w:trPr>
          <w:trHeight w:val="331"/>
        </w:trPr>
        <w:tc>
          <w:tcPr>
            <w:tcW w:w="2785" w:type="dxa"/>
            <w:tcBorders>
              <w:top w:val="single" w:sz="4" w:space="0" w:color="auto"/>
              <w:bottom w:val="single" w:sz="4" w:space="0" w:color="auto"/>
            </w:tcBorders>
            <w:vAlign w:val="center"/>
          </w:tcPr>
          <w:p w14:paraId="22A55212"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Osteoporosis</w:t>
            </w:r>
          </w:p>
        </w:tc>
        <w:tc>
          <w:tcPr>
            <w:tcW w:w="1530" w:type="dxa"/>
            <w:tcBorders>
              <w:top w:val="single" w:sz="4" w:space="0" w:color="auto"/>
              <w:bottom w:val="single" w:sz="4" w:space="0" w:color="auto"/>
            </w:tcBorders>
            <w:vAlign w:val="center"/>
          </w:tcPr>
          <w:p w14:paraId="3B4A4B2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294 (12.3%)</w:t>
            </w:r>
          </w:p>
        </w:tc>
        <w:tc>
          <w:tcPr>
            <w:tcW w:w="1530" w:type="dxa"/>
            <w:tcBorders>
              <w:top w:val="single" w:sz="4" w:space="0" w:color="auto"/>
              <w:bottom w:val="single" w:sz="4" w:space="0" w:color="auto"/>
            </w:tcBorders>
            <w:vAlign w:val="center"/>
          </w:tcPr>
          <w:p w14:paraId="2C316C4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282 (8.9%)</w:t>
            </w:r>
          </w:p>
        </w:tc>
        <w:tc>
          <w:tcPr>
            <w:tcW w:w="810" w:type="dxa"/>
            <w:tcBorders>
              <w:top w:val="single" w:sz="4" w:space="0" w:color="auto"/>
              <w:bottom w:val="single" w:sz="4" w:space="0" w:color="auto"/>
              <w:right w:val="single" w:sz="4" w:space="0" w:color="auto"/>
            </w:tcBorders>
            <w:vAlign w:val="center"/>
          </w:tcPr>
          <w:p w14:paraId="7F14F06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0.111</w:t>
            </w:r>
          </w:p>
        </w:tc>
        <w:tc>
          <w:tcPr>
            <w:tcW w:w="1530" w:type="dxa"/>
            <w:tcBorders>
              <w:top w:val="single" w:sz="4" w:space="0" w:color="auto"/>
              <w:left w:val="single" w:sz="4" w:space="0" w:color="auto"/>
              <w:bottom w:val="single" w:sz="4" w:space="0" w:color="auto"/>
            </w:tcBorders>
            <w:vAlign w:val="center"/>
          </w:tcPr>
          <w:p w14:paraId="6158B51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107 (11.5%)</w:t>
            </w:r>
          </w:p>
        </w:tc>
        <w:tc>
          <w:tcPr>
            <w:tcW w:w="1530" w:type="dxa"/>
            <w:tcBorders>
              <w:top w:val="single" w:sz="4" w:space="0" w:color="auto"/>
              <w:bottom w:val="single" w:sz="4" w:space="0" w:color="auto"/>
            </w:tcBorders>
            <w:vAlign w:val="center"/>
          </w:tcPr>
          <w:p w14:paraId="2327A9B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279 (8.9%)</w:t>
            </w:r>
          </w:p>
        </w:tc>
        <w:tc>
          <w:tcPr>
            <w:tcW w:w="815" w:type="dxa"/>
            <w:tcBorders>
              <w:top w:val="single" w:sz="4" w:space="0" w:color="auto"/>
              <w:bottom w:val="single" w:sz="4" w:space="0" w:color="auto"/>
            </w:tcBorders>
            <w:vAlign w:val="center"/>
          </w:tcPr>
          <w:p w14:paraId="43A5B49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0.086</w:t>
            </w:r>
          </w:p>
        </w:tc>
      </w:tr>
      <w:tr w:rsidR="009E4D77" w:rsidRPr="00B9107F" w14:paraId="54F08C76" w14:textId="77777777" w:rsidTr="001B4366">
        <w:trPr>
          <w:trHeight w:val="331"/>
        </w:trPr>
        <w:tc>
          <w:tcPr>
            <w:tcW w:w="2785" w:type="dxa"/>
            <w:tcBorders>
              <w:top w:val="single" w:sz="4" w:space="0" w:color="auto"/>
              <w:bottom w:val="single" w:sz="4" w:space="0" w:color="auto"/>
            </w:tcBorders>
            <w:vAlign w:val="center"/>
          </w:tcPr>
          <w:p w14:paraId="6C9A804D"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Urinary tract infection</w:t>
            </w:r>
          </w:p>
        </w:tc>
        <w:tc>
          <w:tcPr>
            <w:tcW w:w="1530" w:type="dxa"/>
            <w:tcBorders>
              <w:top w:val="single" w:sz="4" w:space="0" w:color="auto"/>
              <w:bottom w:val="single" w:sz="4" w:space="0" w:color="auto"/>
            </w:tcBorders>
            <w:vAlign w:val="center"/>
          </w:tcPr>
          <w:p w14:paraId="7E38F87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371 (15.6%)</w:t>
            </w:r>
          </w:p>
        </w:tc>
        <w:tc>
          <w:tcPr>
            <w:tcW w:w="1530" w:type="dxa"/>
            <w:tcBorders>
              <w:top w:val="single" w:sz="4" w:space="0" w:color="auto"/>
              <w:bottom w:val="single" w:sz="4" w:space="0" w:color="auto"/>
            </w:tcBorders>
            <w:vAlign w:val="center"/>
          </w:tcPr>
          <w:p w14:paraId="6AA1D09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230 (7.3%)</w:t>
            </w:r>
          </w:p>
        </w:tc>
        <w:tc>
          <w:tcPr>
            <w:tcW w:w="810" w:type="dxa"/>
            <w:tcBorders>
              <w:top w:val="single" w:sz="4" w:space="0" w:color="auto"/>
              <w:bottom w:val="single" w:sz="4" w:space="0" w:color="auto"/>
              <w:right w:val="single" w:sz="4" w:space="0" w:color="auto"/>
            </w:tcBorders>
            <w:vAlign w:val="center"/>
          </w:tcPr>
          <w:p w14:paraId="5CCD04F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0.263</w:t>
            </w:r>
          </w:p>
        </w:tc>
        <w:tc>
          <w:tcPr>
            <w:tcW w:w="1530" w:type="dxa"/>
            <w:tcBorders>
              <w:top w:val="single" w:sz="4" w:space="0" w:color="auto"/>
              <w:left w:val="single" w:sz="4" w:space="0" w:color="auto"/>
              <w:bottom w:val="single" w:sz="4" w:space="0" w:color="auto"/>
            </w:tcBorders>
            <w:vAlign w:val="center"/>
          </w:tcPr>
          <w:p w14:paraId="4043F06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117 (12.6%)</w:t>
            </w:r>
          </w:p>
        </w:tc>
        <w:tc>
          <w:tcPr>
            <w:tcW w:w="1530" w:type="dxa"/>
            <w:tcBorders>
              <w:top w:val="single" w:sz="4" w:space="0" w:color="auto"/>
              <w:bottom w:val="single" w:sz="4" w:space="0" w:color="auto"/>
            </w:tcBorders>
            <w:vAlign w:val="center"/>
          </w:tcPr>
          <w:p w14:paraId="0969E77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228 (7.3%)</w:t>
            </w:r>
          </w:p>
        </w:tc>
        <w:tc>
          <w:tcPr>
            <w:tcW w:w="815" w:type="dxa"/>
            <w:tcBorders>
              <w:top w:val="single" w:sz="4" w:space="0" w:color="auto"/>
              <w:bottom w:val="single" w:sz="4" w:space="0" w:color="auto"/>
            </w:tcBorders>
            <w:vAlign w:val="center"/>
          </w:tcPr>
          <w:p w14:paraId="3EE0E65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0.178</w:t>
            </w:r>
          </w:p>
        </w:tc>
      </w:tr>
      <w:tr w:rsidR="009E4D77" w:rsidRPr="00B9107F" w14:paraId="7B4616F4" w14:textId="77777777" w:rsidTr="001B4366">
        <w:trPr>
          <w:trHeight w:val="331"/>
        </w:trPr>
        <w:tc>
          <w:tcPr>
            <w:tcW w:w="2785" w:type="dxa"/>
            <w:tcBorders>
              <w:top w:val="single" w:sz="4" w:space="0" w:color="auto"/>
              <w:bottom w:val="single" w:sz="4" w:space="0" w:color="auto"/>
            </w:tcBorders>
            <w:vAlign w:val="center"/>
          </w:tcPr>
          <w:p w14:paraId="2B497F4F" w14:textId="77777777" w:rsidR="009E4D77" w:rsidRPr="00B9107F" w:rsidRDefault="009E4D77" w:rsidP="001B4366">
            <w:pPr>
              <w:spacing w:after="0" w:line="240" w:lineRule="auto"/>
              <w:ind w:left="168"/>
              <w:rPr>
                <w:rFonts w:ascii="Times New Roman" w:hAnsi="Times New Roman" w:cs="Times New Roman"/>
                <w:sz w:val="20"/>
                <w:szCs w:val="20"/>
              </w:rPr>
            </w:pPr>
            <w:r w:rsidRPr="00B9107F">
              <w:rPr>
                <w:rFonts w:ascii="Times New Roman" w:hAnsi="Times New Roman" w:cs="Times New Roman"/>
                <w:color w:val="000000"/>
                <w:sz w:val="20"/>
                <w:szCs w:val="20"/>
              </w:rPr>
              <w:t>Gallstone disease (cholelithiasis)</w:t>
            </w:r>
          </w:p>
        </w:tc>
        <w:tc>
          <w:tcPr>
            <w:tcW w:w="1530" w:type="dxa"/>
            <w:tcBorders>
              <w:top w:val="single" w:sz="4" w:space="0" w:color="auto"/>
              <w:bottom w:val="single" w:sz="4" w:space="0" w:color="auto"/>
            </w:tcBorders>
            <w:vAlign w:val="center"/>
          </w:tcPr>
          <w:p w14:paraId="3DA5B78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217 (9.1%)</w:t>
            </w:r>
          </w:p>
        </w:tc>
        <w:tc>
          <w:tcPr>
            <w:tcW w:w="1530" w:type="dxa"/>
            <w:tcBorders>
              <w:top w:val="single" w:sz="4" w:space="0" w:color="auto"/>
              <w:bottom w:val="single" w:sz="4" w:space="0" w:color="auto"/>
            </w:tcBorders>
            <w:vAlign w:val="center"/>
          </w:tcPr>
          <w:p w14:paraId="197E172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239 (7.6%)</w:t>
            </w:r>
          </w:p>
        </w:tc>
        <w:tc>
          <w:tcPr>
            <w:tcW w:w="810" w:type="dxa"/>
            <w:tcBorders>
              <w:top w:val="single" w:sz="4" w:space="0" w:color="auto"/>
              <w:bottom w:val="single" w:sz="4" w:space="0" w:color="auto"/>
              <w:right w:val="single" w:sz="4" w:space="0" w:color="auto"/>
            </w:tcBorders>
            <w:vAlign w:val="center"/>
          </w:tcPr>
          <w:p w14:paraId="154BD31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0.056</w:t>
            </w:r>
          </w:p>
        </w:tc>
        <w:tc>
          <w:tcPr>
            <w:tcW w:w="1530" w:type="dxa"/>
            <w:tcBorders>
              <w:top w:val="single" w:sz="4" w:space="0" w:color="auto"/>
              <w:left w:val="single" w:sz="4" w:space="0" w:color="auto"/>
              <w:bottom w:val="single" w:sz="4" w:space="0" w:color="auto"/>
            </w:tcBorders>
            <w:vAlign w:val="center"/>
          </w:tcPr>
          <w:p w14:paraId="18EF017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78 (8.4%)</w:t>
            </w:r>
          </w:p>
        </w:tc>
        <w:tc>
          <w:tcPr>
            <w:tcW w:w="1530" w:type="dxa"/>
            <w:tcBorders>
              <w:top w:val="single" w:sz="4" w:space="0" w:color="auto"/>
              <w:bottom w:val="single" w:sz="4" w:space="0" w:color="auto"/>
            </w:tcBorders>
            <w:vAlign w:val="center"/>
          </w:tcPr>
          <w:p w14:paraId="2417E45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212 (6.8%)</w:t>
            </w:r>
          </w:p>
        </w:tc>
        <w:tc>
          <w:tcPr>
            <w:tcW w:w="815" w:type="dxa"/>
            <w:tcBorders>
              <w:top w:val="single" w:sz="4" w:space="0" w:color="auto"/>
              <w:bottom w:val="single" w:sz="4" w:space="0" w:color="auto"/>
            </w:tcBorders>
            <w:vAlign w:val="center"/>
          </w:tcPr>
          <w:p w14:paraId="43A064C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0.061</w:t>
            </w:r>
          </w:p>
        </w:tc>
      </w:tr>
      <w:tr w:rsidR="009E4D77" w:rsidRPr="00B9107F" w14:paraId="54808F46" w14:textId="77777777" w:rsidTr="001B4366">
        <w:trPr>
          <w:trHeight w:val="331"/>
        </w:trPr>
        <w:tc>
          <w:tcPr>
            <w:tcW w:w="2785" w:type="dxa"/>
            <w:tcBorders>
              <w:top w:val="single" w:sz="4" w:space="0" w:color="auto"/>
              <w:bottom w:val="single" w:sz="4" w:space="0" w:color="auto"/>
            </w:tcBorders>
            <w:vAlign w:val="center"/>
          </w:tcPr>
          <w:p w14:paraId="4AEB7C7C"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Diarrhea</w:t>
            </w:r>
          </w:p>
        </w:tc>
        <w:tc>
          <w:tcPr>
            <w:tcW w:w="1530" w:type="dxa"/>
            <w:tcBorders>
              <w:top w:val="single" w:sz="4" w:space="0" w:color="auto"/>
              <w:bottom w:val="single" w:sz="4" w:space="0" w:color="auto"/>
            </w:tcBorders>
            <w:vAlign w:val="center"/>
          </w:tcPr>
          <w:p w14:paraId="471385F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317 (13.3%)</w:t>
            </w:r>
          </w:p>
        </w:tc>
        <w:tc>
          <w:tcPr>
            <w:tcW w:w="1530" w:type="dxa"/>
            <w:tcBorders>
              <w:top w:val="single" w:sz="4" w:space="0" w:color="auto"/>
              <w:bottom w:val="single" w:sz="4" w:space="0" w:color="auto"/>
            </w:tcBorders>
            <w:vAlign w:val="center"/>
          </w:tcPr>
          <w:p w14:paraId="530794F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171 (5.4%)</w:t>
            </w:r>
          </w:p>
        </w:tc>
        <w:tc>
          <w:tcPr>
            <w:tcW w:w="810" w:type="dxa"/>
            <w:tcBorders>
              <w:top w:val="single" w:sz="4" w:space="0" w:color="auto"/>
              <w:bottom w:val="single" w:sz="4" w:space="0" w:color="auto"/>
              <w:right w:val="single" w:sz="4" w:space="0" w:color="auto"/>
            </w:tcBorders>
            <w:vAlign w:val="center"/>
          </w:tcPr>
          <w:p w14:paraId="64EBD7E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0.273</w:t>
            </w:r>
          </w:p>
        </w:tc>
        <w:tc>
          <w:tcPr>
            <w:tcW w:w="1530" w:type="dxa"/>
            <w:tcBorders>
              <w:top w:val="single" w:sz="4" w:space="0" w:color="auto"/>
              <w:left w:val="single" w:sz="4" w:space="0" w:color="auto"/>
              <w:bottom w:val="single" w:sz="4" w:space="0" w:color="auto"/>
            </w:tcBorders>
            <w:vAlign w:val="center"/>
          </w:tcPr>
          <w:p w14:paraId="46C7580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132 (14.2%)</w:t>
            </w:r>
          </w:p>
        </w:tc>
        <w:tc>
          <w:tcPr>
            <w:tcW w:w="1530" w:type="dxa"/>
            <w:tcBorders>
              <w:top w:val="single" w:sz="4" w:space="0" w:color="auto"/>
              <w:bottom w:val="single" w:sz="4" w:space="0" w:color="auto"/>
            </w:tcBorders>
            <w:vAlign w:val="center"/>
          </w:tcPr>
          <w:p w14:paraId="688979A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152 (4.9%)</w:t>
            </w:r>
          </w:p>
        </w:tc>
        <w:tc>
          <w:tcPr>
            <w:tcW w:w="815" w:type="dxa"/>
            <w:tcBorders>
              <w:top w:val="single" w:sz="4" w:space="0" w:color="auto"/>
              <w:bottom w:val="single" w:sz="4" w:space="0" w:color="auto"/>
            </w:tcBorders>
            <w:vAlign w:val="center"/>
          </w:tcPr>
          <w:p w14:paraId="7D0C1B4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0.323</w:t>
            </w:r>
          </w:p>
        </w:tc>
      </w:tr>
      <w:tr w:rsidR="009E4D77" w:rsidRPr="00B9107F" w14:paraId="52B598AE" w14:textId="77777777" w:rsidTr="001B4366">
        <w:trPr>
          <w:trHeight w:val="331"/>
        </w:trPr>
        <w:tc>
          <w:tcPr>
            <w:tcW w:w="2785" w:type="dxa"/>
            <w:tcBorders>
              <w:top w:val="single" w:sz="4" w:space="0" w:color="auto"/>
              <w:bottom w:val="single" w:sz="4" w:space="0" w:color="auto"/>
            </w:tcBorders>
            <w:vAlign w:val="center"/>
          </w:tcPr>
          <w:p w14:paraId="630547B8"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Sleep-related issues</w:t>
            </w:r>
          </w:p>
        </w:tc>
        <w:tc>
          <w:tcPr>
            <w:tcW w:w="1530" w:type="dxa"/>
            <w:tcBorders>
              <w:top w:val="single" w:sz="4" w:space="0" w:color="auto"/>
              <w:bottom w:val="single" w:sz="4" w:space="0" w:color="auto"/>
            </w:tcBorders>
            <w:vAlign w:val="center"/>
          </w:tcPr>
          <w:p w14:paraId="5C9D4F22"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252 (10.6%)</w:t>
            </w:r>
          </w:p>
        </w:tc>
        <w:tc>
          <w:tcPr>
            <w:tcW w:w="1530" w:type="dxa"/>
            <w:tcBorders>
              <w:top w:val="single" w:sz="4" w:space="0" w:color="auto"/>
              <w:bottom w:val="single" w:sz="4" w:space="0" w:color="auto"/>
            </w:tcBorders>
            <w:vAlign w:val="center"/>
          </w:tcPr>
          <w:p w14:paraId="19F1BDC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141 (4.5%)</w:t>
            </w:r>
          </w:p>
        </w:tc>
        <w:tc>
          <w:tcPr>
            <w:tcW w:w="810" w:type="dxa"/>
            <w:tcBorders>
              <w:top w:val="single" w:sz="4" w:space="0" w:color="auto"/>
              <w:bottom w:val="single" w:sz="4" w:space="0" w:color="auto"/>
              <w:right w:val="single" w:sz="4" w:space="0" w:color="auto"/>
            </w:tcBorders>
            <w:vAlign w:val="center"/>
          </w:tcPr>
          <w:p w14:paraId="6A09F00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0.233</w:t>
            </w:r>
          </w:p>
        </w:tc>
        <w:tc>
          <w:tcPr>
            <w:tcW w:w="1530" w:type="dxa"/>
            <w:tcBorders>
              <w:top w:val="single" w:sz="4" w:space="0" w:color="auto"/>
              <w:left w:val="single" w:sz="4" w:space="0" w:color="auto"/>
              <w:bottom w:val="single" w:sz="4" w:space="0" w:color="auto"/>
            </w:tcBorders>
            <w:vAlign w:val="center"/>
          </w:tcPr>
          <w:p w14:paraId="1A4B197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74 (8.0%)</w:t>
            </w:r>
          </w:p>
        </w:tc>
        <w:tc>
          <w:tcPr>
            <w:tcW w:w="1530" w:type="dxa"/>
            <w:tcBorders>
              <w:top w:val="single" w:sz="4" w:space="0" w:color="auto"/>
              <w:bottom w:val="single" w:sz="4" w:space="0" w:color="auto"/>
            </w:tcBorders>
            <w:vAlign w:val="center"/>
          </w:tcPr>
          <w:p w14:paraId="4E1D801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130 (4.2%)</w:t>
            </w:r>
          </w:p>
        </w:tc>
        <w:tc>
          <w:tcPr>
            <w:tcW w:w="815" w:type="dxa"/>
            <w:tcBorders>
              <w:top w:val="single" w:sz="4" w:space="0" w:color="auto"/>
              <w:bottom w:val="single" w:sz="4" w:space="0" w:color="auto"/>
            </w:tcBorders>
            <w:vAlign w:val="center"/>
          </w:tcPr>
          <w:p w14:paraId="5CC6D3B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0.160</w:t>
            </w:r>
          </w:p>
        </w:tc>
      </w:tr>
      <w:tr w:rsidR="009E4D77" w:rsidRPr="00B9107F" w14:paraId="2F7C20B4" w14:textId="77777777" w:rsidTr="001B4366">
        <w:trPr>
          <w:trHeight w:val="331"/>
        </w:trPr>
        <w:tc>
          <w:tcPr>
            <w:tcW w:w="2785" w:type="dxa"/>
            <w:tcBorders>
              <w:top w:val="single" w:sz="4" w:space="0" w:color="auto"/>
              <w:bottom w:val="single" w:sz="4" w:space="0" w:color="auto"/>
            </w:tcBorders>
            <w:vAlign w:val="center"/>
          </w:tcPr>
          <w:p w14:paraId="1BAF2CB2"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Inflammatory bowel disease</w:t>
            </w:r>
          </w:p>
        </w:tc>
        <w:tc>
          <w:tcPr>
            <w:tcW w:w="1530" w:type="dxa"/>
            <w:tcBorders>
              <w:top w:val="single" w:sz="4" w:space="0" w:color="auto"/>
              <w:bottom w:val="single" w:sz="4" w:space="0" w:color="auto"/>
            </w:tcBorders>
            <w:vAlign w:val="center"/>
          </w:tcPr>
          <w:p w14:paraId="2A52683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191 (8.0%)</w:t>
            </w:r>
          </w:p>
        </w:tc>
        <w:tc>
          <w:tcPr>
            <w:tcW w:w="1530" w:type="dxa"/>
            <w:tcBorders>
              <w:top w:val="single" w:sz="4" w:space="0" w:color="auto"/>
              <w:bottom w:val="single" w:sz="4" w:space="0" w:color="auto"/>
            </w:tcBorders>
            <w:vAlign w:val="center"/>
          </w:tcPr>
          <w:p w14:paraId="36746DE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111 (3.5%)</w:t>
            </w:r>
          </w:p>
        </w:tc>
        <w:tc>
          <w:tcPr>
            <w:tcW w:w="810" w:type="dxa"/>
            <w:tcBorders>
              <w:top w:val="single" w:sz="4" w:space="0" w:color="auto"/>
              <w:bottom w:val="single" w:sz="4" w:space="0" w:color="auto"/>
              <w:right w:val="single" w:sz="4" w:space="0" w:color="auto"/>
            </w:tcBorders>
            <w:vAlign w:val="center"/>
          </w:tcPr>
          <w:p w14:paraId="2BAA118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0.194</w:t>
            </w:r>
          </w:p>
        </w:tc>
        <w:tc>
          <w:tcPr>
            <w:tcW w:w="1530" w:type="dxa"/>
            <w:tcBorders>
              <w:top w:val="single" w:sz="4" w:space="0" w:color="auto"/>
              <w:left w:val="single" w:sz="4" w:space="0" w:color="auto"/>
              <w:bottom w:val="single" w:sz="4" w:space="0" w:color="auto"/>
            </w:tcBorders>
            <w:vAlign w:val="center"/>
          </w:tcPr>
          <w:p w14:paraId="366F98F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75 (8.1%)</w:t>
            </w:r>
          </w:p>
        </w:tc>
        <w:tc>
          <w:tcPr>
            <w:tcW w:w="1530" w:type="dxa"/>
            <w:tcBorders>
              <w:top w:val="single" w:sz="4" w:space="0" w:color="auto"/>
              <w:bottom w:val="single" w:sz="4" w:space="0" w:color="auto"/>
            </w:tcBorders>
            <w:vAlign w:val="center"/>
          </w:tcPr>
          <w:p w14:paraId="724B767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123 (3.9%)</w:t>
            </w:r>
          </w:p>
        </w:tc>
        <w:tc>
          <w:tcPr>
            <w:tcW w:w="815" w:type="dxa"/>
            <w:tcBorders>
              <w:top w:val="single" w:sz="4" w:space="0" w:color="auto"/>
              <w:bottom w:val="single" w:sz="4" w:space="0" w:color="auto"/>
            </w:tcBorders>
            <w:vAlign w:val="center"/>
          </w:tcPr>
          <w:p w14:paraId="540DC64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0.175</w:t>
            </w:r>
          </w:p>
        </w:tc>
      </w:tr>
      <w:tr w:rsidR="009E4D77" w:rsidRPr="00B9107F" w14:paraId="248B7F7B" w14:textId="77777777" w:rsidTr="001B4366">
        <w:trPr>
          <w:trHeight w:val="331"/>
        </w:trPr>
        <w:tc>
          <w:tcPr>
            <w:tcW w:w="2785" w:type="dxa"/>
            <w:tcBorders>
              <w:top w:val="single" w:sz="4" w:space="0" w:color="auto"/>
              <w:bottom w:val="single" w:sz="4" w:space="0" w:color="auto"/>
            </w:tcBorders>
            <w:vAlign w:val="center"/>
          </w:tcPr>
          <w:p w14:paraId="47FF78D9"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Rheumatoid arthritis</w:t>
            </w:r>
          </w:p>
        </w:tc>
        <w:tc>
          <w:tcPr>
            <w:tcW w:w="1530" w:type="dxa"/>
            <w:tcBorders>
              <w:top w:val="single" w:sz="4" w:space="0" w:color="auto"/>
              <w:bottom w:val="single" w:sz="4" w:space="0" w:color="auto"/>
            </w:tcBorders>
            <w:vAlign w:val="center"/>
          </w:tcPr>
          <w:p w14:paraId="2ECC066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181 (7.6%)</w:t>
            </w:r>
          </w:p>
        </w:tc>
        <w:tc>
          <w:tcPr>
            <w:tcW w:w="1530" w:type="dxa"/>
            <w:tcBorders>
              <w:top w:val="single" w:sz="4" w:space="0" w:color="auto"/>
              <w:bottom w:val="single" w:sz="4" w:space="0" w:color="auto"/>
            </w:tcBorders>
            <w:vAlign w:val="center"/>
          </w:tcPr>
          <w:p w14:paraId="641E9AF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107 (3.4%)</w:t>
            </w:r>
          </w:p>
        </w:tc>
        <w:tc>
          <w:tcPr>
            <w:tcW w:w="810" w:type="dxa"/>
            <w:tcBorders>
              <w:top w:val="single" w:sz="4" w:space="0" w:color="auto"/>
              <w:bottom w:val="single" w:sz="4" w:space="0" w:color="auto"/>
              <w:right w:val="single" w:sz="4" w:space="0" w:color="auto"/>
            </w:tcBorders>
            <w:vAlign w:val="center"/>
          </w:tcPr>
          <w:p w14:paraId="052D12F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0.186</w:t>
            </w:r>
          </w:p>
        </w:tc>
        <w:tc>
          <w:tcPr>
            <w:tcW w:w="1530" w:type="dxa"/>
            <w:tcBorders>
              <w:top w:val="single" w:sz="4" w:space="0" w:color="auto"/>
              <w:left w:val="single" w:sz="4" w:space="0" w:color="auto"/>
              <w:bottom w:val="single" w:sz="4" w:space="0" w:color="auto"/>
            </w:tcBorders>
            <w:vAlign w:val="center"/>
          </w:tcPr>
          <w:p w14:paraId="2D3D378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65 (7.0%)</w:t>
            </w:r>
          </w:p>
        </w:tc>
        <w:tc>
          <w:tcPr>
            <w:tcW w:w="1530" w:type="dxa"/>
            <w:tcBorders>
              <w:top w:val="single" w:sz="4" w:space="0" w:color="auto"/>
              <w:bottom w:val="single" w:sz="4" w:space="0" w:color="auto"/>
            </w:tcBorders>
            <w:vAlign w:val="center"/>
          </w:tcPr>
          <w:p w14:paraId="2088909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104 (3.3%)</w:t>
            </w:r>
          </w:p>
        </w:tc>
        <w:tc>
          <w:tcPr>
            <w:tcW w:w="815" w:type="dxa"/>
            <w:tcBorders>
              <w:top w:val="single" w:sz="4" w:space="0" w:color="auto"/>
              <w:bottom w:val="single" w:sz="4" w:space="0" w:color="auto"/>
            </w:tcBorders>
            <w:vAlign w:val="center"/>
          </w:tcPr>
          <w:p w14:paraId="3220849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0.167</w:t>
            </w:r>
          </w:p>
        </w:tc>
      </w:tr>
      <w:tr w:rsidR="009E4D77" w:rsidRPr="00B9107F" w14:paraId="6D98F549" w14:textId="77777777" w:rsidTr="001B4366">
        <w:trPr>
          <w:trHeight w:val="331"/>
        </w:trPr>
        <w:tc>
          <w:tcPr>
            <w:tcW w:w="2785" w:type="dxa"/>
            <w:tcBorders>
              <w:top w:val="single" w:sz="4" w:space="0" w:color="auto"/>
              <w:bottom w:val="single" w:sz="4" w:space="0" w:color="auto"/>
            </w:tcBorders>
            <w:vAlign w:val="center"/>
          </w:tcPr>
          <w:p w14:paraId="16A6575F"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Ulcerative colitis</w:t>
            </w:r>
          </w:p>
        </w:tc>
        <w:tc>
          <w:tcPr>
            <w:tcW w:w="1530" w:type="dxa"/>
            <w:tcBorders>
              <w:top w:val="single" w:sz="4" w:space="0" w:color="auto"/>
              <w:bottom w:val="single" w:sz="4" w:space="0" w:color="auto"/>
            </w:tcBorders>
            <w:vAlign w:val="center"/>
          </w:tcPr>
          <w:p w14:paraId="0672882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127 (5.3%)</w:t>
            </w:r>
          </w:p>
        </w:tc>
        <w:tc>
          <w:tcPr>
            <w:tcW w:w="1530" w:type="dxa"/>
            <w:tcBorders>
              <w:top w:val="single" w:sz="4" w:space="0" w:color="auto"/>
              <w:bottom w:val="single" w:sz="4" w:space="0" w:color="auto"/>
            </w:tcBorders>
            <w:vAlign w:val="center"/>
          </w:tcPr>
          <w:p w14:paraId="72DDA27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108 (3.4%)</w:t>
            </w:r>
          </w:p>
        </w:tc>
        <w:tc>
          <w:tcPr>
            <w:tcW w:w="810" w:type="dxa"/>
            <w:tcBorders>
              <w:top w:val="single" w:sz="4" w:space="0" w:color="auto"/>
              <w:bottom w:val="single" w:sz="4" w:space="0" w:color="auto"/>
              <w:right w:val="single" w:sz="4" w:space="0" w:color="auto"/>
            </w:tcBorders>
            <w:vAlign w:val="center"/>
          </w:tcPr>
          <w:p w14:paraId="3BAFBEA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0.094</w:t>
            </w:r>
          </w:p>
        </w:tc>
        <w:tc>
          <w:tcPr>
            <w:tcW w:w="1530" w:type="dxa"/>
            <w:tcBorders>
              <w:top w:val="single" w:sz="4" w:space="0" w:color="auto"/>
              <w:left w:val="single" w:sz="4" w:space="0" w:color="auto"/>
              <w:bottom w:val="single" w:sz="4" w:space="0" w:color="auto"/>
            </w:tcBorders>
            <w:vAlign w:val="center"/>
          </w:tcPr>
          <w:p w14:paraId="6032B2E9"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65 (7.0%)</w:t>
            </w:r>
          </w:p>
        </w:tc>
        <w:tc>
          <w:tcPr>
            <w:tcW w:w="1530" w:type="dxa"/>
            <w:tcBorders>
              <w:top w:val="single" w:sz="4" w:space="0" w:color="auto"/>
              <w:bottom w:val="single" w:sz="4" w:space="0" w:color="auto"/>
            </w:tcBorders>
            <w:vAlign w:val="center"/>
          </w:tcPr>
          <w:p w14:paraId="14067A1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99 (3.2%)</w:t>
            </w:r>
          </w:p>
        </w:tc>
        <w:tc>
          <w:tcPr>
            <w:tcW w:w="815" w:type="dxa"/>
            <w:tcBorders>
              <w:top w:val="single" w:sz="4" w:space="0" w:color="auto"/>
              <w:bottom w:val="single" w:sz="4" w:space="0" w:color="auto"/>
            </w:tcBorders>
            <w:vAlign w:val="center"/>
          </w:tcPr>
          <w:p w14:paraId="5786E8A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0.175</w:t>
            </w:r>
          </w:p>
        </w:tc>
      </w:tr>
      <w:tr w:rsidR="009E4D77" w:rsidRPr="00B9107F" w14:paraId="22F1F3CE" w14:textId="77777777" w:rsidTr="001B4366">
        <w:trPr>
          <w:trHeight w:val="331"/>
        </w:trPr>
        <w:tc>
          <w:tcPr>
            <w:tcW w:w="2785" w:type="dxa"/>
            <w:tcBorders>
              <w:top w:val="single" w:sz="4" w:space="0" w:color="auto"/>
              <w:bottom w:val="single" w:sz="4" w:space="0" w:color="auto"/>
            </w:tcBorders>
            <w:vAlign w:val="center"/>
          </w:tcPr>
          <w:p w14:paraId="2006D374" w14:textId="07091A4D" w:rsidR="009E4D77" w:rsidRPr="00B9107F" w:rsidRDefault="009F34A2"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Sjögren’s disease</w:t>
            </w:r>
          </w:p>
        </w:tc>
        <w:tc>
          <w:tcPr>
            <w:tcW w:w="1530" w:type="dxa"/>
            <w:tcBorders>
              <w:top w:val="single" w:sz="4" w:space="0" w:color="auto"/>
              <w:bottom w:val="single" w:sz="4" w:space="0" w:color="auto"/>
            </w:tcBorders>
            <w:vAlign w:val="center"/>
          </w:tcPr>
          <w:p w14:paraId="40EACC3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153 (6.4%)</w:t>
            </w:r>
          </w:p>
        </w:tc>
        <w:tc>
          <w:tcPr>
            <w:tcW w:w="1530" w:type="dxa"/>
            <w:tcBorders>
              <w:top w:val="single" w:sz="4" w:space="0" w:color="auto"/>
              <w:bottom w:val="single" w:sz="4" w:space="0" w:color="auto"/>
            </w:tcBorders>
            <w:vAlign w:val="center"/>
          </w:tcPr>
          <w:p w14:paraId="0AA8B02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103 (3.3%)</w:t>
            </w:r>
          </w:p>
        </w:tc>
        <w:tc>
          <w:tcPr>
            <w:tcW w:w="810" w:type="dxa"/>
            <w:tcBorders>
              <w:top w:val="single" w:sz="4" w:space="0" w:color="auto"/>
              <w:bottom w:val="single" w:sz="4" w:space="0" w:color="auto"/>
              <w:right w:val="single" w:sz="4" w:space="0" w:color="auto"/>
            </w:tcBorders>
            <w:vAlign w:val="center"/>
          </w:tcPr>
          <w:p w14:paraId="047B543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0.148</w:t>
            </w:r>
          </w:p>
        </w:tc>
        <w:tc>
          <w:tcPr>
            <w:tcW w:w="1530" w:type="dxa"/>
            <w:tcBorders>
              <w:top w:val="single" w:sz="4" w:space="0" w:color="auto"/>
              <w:left w:val="single" w:sz="4" w:space="0" w:color="auto"/>
              <w:bottom w:val="single" w:sz="4" w:space="0" w:color="auto"/>
            </w:tcBorders>
            <w:vAlign w:val="center"/>
          </w:tcPr>
          <w:p w14:paraId="0A5984D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56 (6.0%)</w:t>
            </w:r>
          </w:p>
        </w:tc>
        <w:tc>
          <w:tcPr>
            <w:tcW w:w="1530" w:type="dxa"/>
            <w:tcBorders>
              <w:top w:val="single" w:sz="4" w:space="0" w:color="auto"/>
              <w:bottom w:val="single" w:sz="4" w:space="0" w:color="auto"/>
            </w:tcBorders>
            <w:vAlign w:val="center"/>
          </w:tcPr>
          <w:p w14:paraId="274ADA7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100 (3.2%)</w:t>
            </w:r>
          </w:p>
        </w:tc>
        <w:tc>
          <w:tcPr>
            <w:tcW w:w="815" w:type="dxa"/>
            <w:tcBorders>
              <w:top w:val="single" w:sz="4" w:space="0" w:color="auto"/>
              <w:bottom w:val="single" w:sz="4" w:space="0" w:color="auto"/>
            </w:tcBorders>
            <w:vAlign w:val="center"/>
          </w:tcPr>
          <w:p w14:paraId="7DAAF7D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0.135</w:t>
            </w:r>
          </w:p>
        </w:tc>
      </w:tr>
      <w:tr w:rsidR="009E4D77" w:rsidRPr="00B9107F" w14:paraId="533A236F" w14:textId="77777777" w:rsidTr="001B4366">
        <w:trPr>
          <w:trHeight w:val="331"/>
        </w:trPr>
        <w:tc>
          <w:tcPr>
            <w:tcW w:w="2785" w:type="dxa"/>
            <w:tcBorders>
              <w:top w:val="single" w:sz="4" w:space="0" w:color="auto"/>
              <w:bottom w:val="single" w:sz="4" w:space="0" w:color="auto"/>
            </w:tcBorders>
            <w:vAlign w:val="center"/>
          </w:tcPr>
          <w:p w14:paraId="3722E873"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Raynaud’s syndrome</w:t>
            </w:r>
          </w:p>
        </w:tc>
        <w:tc>
          <w:tcPr>
            <w:tcW w:w="1530" w:type="dxa"/>
            <w:tcBorders>
              <w:top w:val="single" w:sz="4" w:space="0" w:color="auto"/>
              <w:bottom w:val="single" w:sz="4" w:space="0" w:color="auto"/>
            </w:tcBorders>
            <w:vAlign w:val="center"/>
          </w:tcPr>
          <w:p w14:paraId="513C499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89 (3.7%)</w:t>
            </w:r>
          </w:p>
        </w:tc>
        <w:tc>
          <w:tcPr>
            <w:tcW w:w="1530" w:type="dxa"/>
            <w:tcBorders>
              <w:top w:val="single" w:sz="4" w:space="0" w:color="auto"/>
              <w:bottom w:val="single" w:sz="4" w:space="0" w:color="auto"/>
            </w:tcBorders>
            <w:vAlign w:val="center"/>
          </w:tcPr>
          <w:p w14:paraId="10E0CA9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88 (2.8%)</w:t>
            </w:r>
          </w:p>
        </w:tc>
        <w:tc>
          <w:tcPr>
            <w:tcW w:w="810" w:type="dxa"/>
            <w:tcBorders>
              <w:top w:val="single" w:sz="4" w:space="0" w:color="auto"/>
              <w:bottom w:val="single" w:sz="4" w:space="0" w:color="auto"/>
              <w:right w:val="single" w:sz="4" w:space="0" w:color="auto"/>
            </w:tcBorders>
            <w:vAlign w:val="center"/>
          </w:tcPr>
          <w:p w14:paraId="1AC9432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0.053</w:t>
            </w:r>
          </w:p>
        </w:tc>
        <w:tc>
          <w:tcPr>
            <w:tcW w:w="1530" w:type="dxa"/>
            <w:tcBorders>
              <w:top w:val="single" w:sz="4" w:space="0" w:color="auto"/>
              <w:left w:val="single" w:sz="4" w:space="0" w:color="auto"/>
              <w:bottom w:val="single" w:sz="4" w:space="0" w:color="auto"/>
            </w:tcBorders>
            <w:vAlign w:val="center"/>
          </w:tcPr>
          <w:p w14:paraId="3620D98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32 (3.5%)</w:t>
            </w:r>
          </w:p>
        </w:tc>
        <w:tc>
          <w:tcPr>
            <w:tcW w:w="1530" w:type="dxa"/>
            <w:tcBorders>
              <w:top w:val="single" w:sz="4" w:space="0" w:color="auto"/>
              <w:bottom w:val="single" w:sz="4" w:space="0" w:color="auto"/>
            </w:tcBorders>
            <w:vAlign w:val="center"/>
          </w:tcPr>
          <w:p w14:paraId="2546AF2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82 (2.6%)</w:t>
            </w:r>
          </w:p>
        </w:tc>
        <w:tc>
          <w:tcPr>
            <w:tcW w:w="815" w:type="dxa"/>
            <w:tcBorders>
              <w:top w:val="single" w:sz="4" w:space="0" w:color="auto"/>
              <w:bottom w:val="single" w:sz="4" w:space="0" w:color="auto"/>
            </w:tcBorders>
            <w:vAlign w:val="center"/>
          </w:tcPr>
          <w:p w14:paraId="23BAE04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0.048</w:t>
            </w:r>
          </w:p>
        </w:tc>
      </w:tr>
      <w:tr w:rsidR="009E4D77" w:rsidRPr="00B9107F" w14:paraId="1EA02FB5" w14:textId="77777777" w:rsidTr="001B4366">
        <w:trPr>
          <w:trHeight w:val="331"/>
        </w:trPr>
        <w:tc>
          <w:tcPr>
            <w:tcW w:w="2785" w:type="dxa"/>
            <w:tcBorders>
              <w:top w:val="single" w:sz="4" w:space="0" w:color="auto"/>
              <w:bottom w:val="single" w:sz="4" w:space="0" w:color="auto"/>
            </w:tcBorders>
            <w:vAlign w:val="center"/>
          </w:tcPr>
          <w:p w14:paraId="786E42E5"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Systemic lupus erythematosus</w:t>
            </w:r>
          </w:p>
        </w:tc>
        <w:tc>
          <w:tcPr>
            <w:tcW w:w="1530" w:type="dxa"/>
            <w:tcBorders>
              <w:top w:val="single" w:sz="4" w:space="0" w:color="auto"/>
              <w:bottom w:val="single" w:sz="4" w:space="0" w:color="auto"/>
            </w:tcBorders>
            <w:vAlign w:val="center"/>
          </w:tcPr>
          <w:p w14:paraId="390948C6"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83 (3.5%)</w:t>
            </w:r>
          </w:p>
        </w:tc>
        <w:tc>
          <w:tcPr>
            <w:tcW w:w="1530" w:type="dxa"/>
            <w:tcBorders>
              <w:top w:val="single" w:sz="4" w:space="0" w:color="auto"/>
              <w:bottom w:val="single" w:sz="4" w:space="0" w:color="auto"/>
            </w:tcBorders>
            <w:vAlign w:val="center"/>
          </w:tcPr>
          <w:p w14:paraId="343997E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53 (1.7%)</w:t>
            </w:r>
          </w:p>
        </w:tc>
        <w:tc>
          <w:tcPr>
            <w:tcW w:w="810" w:type="dxa"/>
            <w:tcBorders>
              <w:top w:val="single" w:sz="4" w:space="0" w:color="auto"/>
              <w:bottom w:val="single" w:sz="4" w:space="0" w:color="auto"/>
              <w:right w:val="single" w:sz="4" w:space="0" w:color="auto"/>
            </w:tcBorders>
            <w:vAlign w:val="center"/>
          </w:tcPr>
          <w:p w14:paraId="2084D60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0.114</w:t>
            </w:r>
          </w:p>
        </w:tc>
        <w:tc>
          <w:tcPr>
            <w:tcW w:w="1530" w:type="dxa"/>
            <w:tcBorders>
              <w:top w:val="single" w:sz="4" w:space="0" w:color="auto"/>
              <w:left w:val="single" w:sz="4" w:space="0" w:color="auto"/>
              <w:bottom w:val="single" w:sz="4" w:space="0" w:color="auto"/>
            </w:tcBorders>
            <w:vAlign w:val="center"/>
          </w:tcPr>
          <w:p w14:paraId="2312A57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36 (3.9%)</w:t>
            </w:r>
          </w:p>
        </w:tc>
        <w:tc>
          <w:tcPr>
            <w:tcW w:w="1530" w:type="dxa"/>
            <w:tcBorders>
              <w:top w:val="single" w:sz="4" w:space="0" w:color="auto"/>
              <w:bottom w:val="single" w:sz="4" w:space="0" w:color="auto"/>
            </w:tcBorders>
            <w:vAlign w:val="center"/>
          </w:tcPr>
          <w:p w14:paraId="1D630D3E"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49 (1.6%)</w:t>
            </w:r>
          </w:p>
        </w:tc>
        <w:tc>
          <w:tcPr>
            <w:tcW w:w="815" w:type="dxa"/>
            <w:tcBorders>
              <w:top w:val="single" w:sz="4" w:space="0" w:color="auto"/>
              <w:bottom w:val="single" w:sz="4" w:space="0" w:color="auto"/>
            </w:tcBorders>
            <w:vAlign w:val="center"/>
          </w:tcPr>
          <w:p w14:paraId="7BFFC7C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0.142</w:t>
            </w:r>
          </w:p>
        </w:tc>
      </w:tr>
      <w:tr w:rsidR="009E4D77" w:rsidRPr="00B9107F" w14:paraId="14F73A4C" w14:textId="77777777" w:rsidTr="001B4366">
        <w:trPr>
          <w:trHeight w:val="331"/>
        </w:trPr>
        <w:tc>
          <w:tcPr>
            <w:tcW w:w="2785" w:type="dxa"/>
            <w:tcBorders>
              <w:top w:val="single" w:sz="4" w:space="0" w:color="auto"/>
              <w:bottom w:val="single" w:sz="4" w:space="0" w:color="auto"/>
            </w:tcBorders>
            <w:vAlign w:val="center"/>
          </w:tcPr>
          <w:p w14:paraId="0252E389"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Crohn's disease</w:t>
            </w:r>
          </w:p>
        </w:tc>
        <w:tc>
          <w:tcPr>
            <w:tcW w:w="1530" w:type="dxa"/>
            <w:tcBorders>
              <w:top w:val="single" w:sz="4" w:space="0" w:color="auto"/>
              <w:bottom w:val="single" w:sz="4" w:space="0" w:color="auto"/>
            </w:tcBorders>
            <w:vAlign w:val="center"/>
          </w:tcPr>
          <w:p w14:paraId="40EFBBC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69 (2.9%)</w:t>
            </w:r>
          </w:p>
        </w:tc>
        <w:tc>
          <w:tcPr>
            <w:tcW w:w="1530" w:type="dxa"/>
            <w:tcBorders>
              <w:top w:val="single" w:sz="4" w:space="0" w:color="auto"/>
              <w:bottom w:val="single" w:sz="4" w:space="0" w:color="auto"/>
            </w:tcBorders>
            <w:vAlign w:val="center"/>
          </w:tcPr>
          <w:p w14:paraId="4802FC2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50 (1.6%)</w:t>
            </w:r>
          </w:p>
        </w:tc>
        <w:tc>
          <w:tcPr>
            <w:tcW w:w="810" w:type="dxa"/>
            <w:tcBorders>
              <w:top w:val="single" w:sz="4" w:space="0" w:color="auto"/>
              <w:bottom w:val="single" w:sz="4" w:space="0" w:color="auto"/>
              <w:right w:val="single" w:sz="4" w:space="0" w:color="auto"/>
            </w:tcBorders>
            <w:vAlign w:val="center"/>
          </w:tcPr>
          <w:p w14:paraId="358FA275"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0.089</w:t>
            </w:r>
          </w:p>
        </w:tc>
        <w:tc>
          <w:tcPr>
            <w:tcW w:w="1530" w:type="dxa"/>
            <w:tcBorders>
              <w:top w:val="single" w:sz="4" w:space="0" w:color="auto"/>
              <w:left w:val="single" w:sz="4" w:space="0" w:color="auto"/>
              <w:bottom w:val="single" w:sz="4" w:space="0" w:color="auto"/>
            </w:tcBorders>
            <w:vAlign w:val="center"/>
          </w:tcPr>
          <w:p w14:paraId="625830E1"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32 (3.5%)</w:t>
            </w:r>
          </w:p>
        </w:tc>
        <w:tc>
          <w:tcPr>
            <w:tcW w:w="1530" w:type="dxa"/>
            <w:tcBorders>
              <w:top w:val="single" w:sz="4" w:space="0" w:color="auto"/>
              <w:bottom w:val="single" w:sz="4" w:space="0" w:color="auto"/>
            </w:tcBorders>
            <w:vAlign w:val="center"/>
          </w:tcPr>
          <w:p w14:paraId="6C58016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51 (1.6%)</w:t>
            </w:r>
          </w:p>
        </w:tc>
        <w:tc>
          <w:tcPr>
            <w:tcW w:w="815" w:type="dxa"/>
            <w:tcBorders>
              <w:top w:val="single" w:sz="4" w:space="0" w:color="auto"/>
              <w:bottom w:val="single" w:sz="4" w:space="0" w:color="auto"/>
            </w:tcBorders>
            <w:vAlign w:val="center"/>
          </w:tcPr>
          <w:p w14:paraId="073B9CB3"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0.116</w:t>
            </w:r>
          </w:p>
        </w:tc>
      </w:tr>
      <w:tr w:rsidR="009E4D77" w:rsidRPr="00B9107F" w14:paraId="0C1AFD70" w14:textId="77777777" w:rsidTr="001B4366">
        <w:trPr>
          <w:trHeight w:val="331"/>
        </w:trPr>
        <w:tc>
          <w:tcPr>
            <w:tcW w:w="2785" w:type="dxa"/>
            <w:tcBorders>
              <w:top w:val="single" w:sz="4" w:space="0" w:color="auto"/>
              <w:bottom w:val="single" w:sz="4" w:space="0" w:color="auto"/>
            </w:tcBorders>
            <w:vAlign w:val="center"/>
          </w:tcPr>
          <w:p w14:paraId="6B844315"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Cognitive impairment</w:t>
            </w:r>
          </w:p>
        </w:tc>
        <w:tc>
          <w:tcPr>
            <w:tcW w:w="1530" w:type="dxa"/>
            <w:tcBorders>
              <w:top w:val="single" w:sz="4" w:space="0" w:color="auto"/>
              <w:bottom w:val="single" w:sz="4" w:space="0" w:color="auto"/>
            </w:tcBorders>
            <w:vAlign w:val="center"/>
          </w:tcPr>
          <w:p w14:paraId="4C0E75C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97 (4.1%)</w:t>
            </w:r>
          </w:p>
        </w:tc>
        <w:tc>
          <w:tcPr>
            <w:tcW w:w="1530" w:type="dxa"/>
            <w:tcBorders>
              <w:top w:val="single" w:sz="4" w:space="0" w:color="auto"/>
              <w:bottom w:val="single" w:sz="4" w:space="0" w:color="auto"/>
            </w:tcBorders>
            <w:vAlign w:val="center"/>
          </w:tcPr>
          <w:p w14:paraId="61C99548"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38 (1.2%)</w:t>
            </w:r>
          </w:p>
        </w:tc>
        <w:tc>
          <w:tcPr>
            <w:tcW w:w="810" w:type="dxa"/>
            <w:tcBorders>
              <w:top w:val="single" w:sz="4" w:space="0" w:color="auto"/>
              <w:bottom w:val="single" w:sz="4" w:space="0" w:color="auto"/>
              <w:right w:val="single" w:sz="4" w:space="0" w:color="auto"/>
            </w:tcBorders>
            <w:vAlign w:val="center"/>
          </w:tcPr>
          <w:p w14:paraId="0D70CF44"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0.180</w:t>
            </w:r>
          </w:p>
        </w:tc>
        <w:tc>
          <w:tcPr>
            <w:tcW w:w="1530" w:type="dxa"/>
            <w:tcBorders>
              <w:top w:val="single" w:sz="4" w:space="0" w:color="auto"/>
              <w:left w:val="single" w:sz="4" w:space="0" w:color="auto"/>
              <w:bottom w:val="single" w:sz="4" w:space="0" w:color="auto"/>
            </w:tcBorders>
            <w:vAlign w:val="center"/>
          </w:tcPr>
          <w:p w14:paraId="3BCC0A9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32 (3.5%)</w:t>
            </w:r>
          </w:p>
        </w:tc>
        <w:tc>
          <w:tcPr>
            <w:tcW w:w="1530" w:type="dxa"/>
            <w:tcBorders>
              <w:top w:val="single" w:sz="4" w:space="0" w:color="auto"/>
              <w:bottom w:val="single" w:sz="4" w:space="0" w:color="auto"/>
            </w:tcBorders>
            <w:vAlign w:val="center"/>
          </w:tcPr>
          <w:p w14:paraId="1DBF271D"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33 (1.1%)</w:t>
            </w:r>
          </w:p>
        </w:tc>
        <w:tc>
          <w:tcPr>
            <w:tcW w:w="815" w:type="dxa"/>
            <w:tcBorders>
              <w:top w:val="single" w:sz="4" w:space="0" w:color="auto"/>
              <w:bottom w:val="single" w:sz="4" w:space="0" w:color="auto"/>
            </w:tcBorders>
            <w:vAlign w:val="center"/>
          </w:tcPr>
          <w:p w14:paraId="494C385C"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0.162</w:t>
            </w:r>
          </w:p>
        </w:tc>
      </w:tr>
      <w:tr w:rsidR="009E4D77" w:rsidRPr="00B9107F" w14:paraId="0632BAC5" w14:textId="77777777" w:rsidTr="001B4366">
        <w:trPr>
          <w:trHeight w:val="331"/>
        </w:trPr>
        <w:tc>
          <w:tcPr>
            <w:tcW w:w="2785" w:type="dxa"/>
            <w:tcBorders>
              <w:top w:val="single" w:sz="4" w:space="0" w:color="auto"/>
              <w:bottom w:val="single" w:sz="4" w:space="0" w:color="auto"/>
            </w:tcBorders>
            <w:vAlign w:val="center"/>
          </w:tcPr>
          <w:p w14:paraId="02796744" w14:textId="77777777" w:rsidR="009E4D77" w:rsidRPr="00B9107F" w:rsidRDefault="009E4D77" w:rsidP="001B4366">
            <w:pPr>
              <w:spacing w:after="0" w:line="240" w:lineRule="auto"/>
              <w:ind w:left="168"/>
              <w:rPr>
                <w:rFonts w:ascii="Times New Roman" w:hAnsi="Times New Roman" w:cs="Times New Roman"/>
                <w:color w:val="000000"/>
                <w:sz w:val="20"/>
                <w:szCs w:val="20"/>
              </w:rPr>
            </w:pPr>
            <w:r w:rsidRPr="00B9107F">
              <w:rPr>
                <w:rFonts w:ascii="Times New Roman" w:hAnsi="Times New Roman" w:cs="Times New Roman"/>
                <w:color w:val="000000"/>
                <w:sz w:val="20"/>
                <w:szCs w:val="20"/>
              </w:rPr>
              <w:t>Autoimmune thyroid disease</w:t>
            </w:r>
          </w:p>
        </w:tc>
        <w:tc>
          <w:tcPr>
            <w:tcW w:w="1530" w:type="dxa"/>
            <w:tcBorders>
              <w:top w:val="single" w:sz="4" w:space="0" w:color="auto"/>
              <w:bottom w:val="single" w:sz="4" w:space="0" w:color="auto"/>
            </w:tcBorders>
            <w:vAlign w:val="center"/>
          </w:tcPr>
          <w:p w14:paraId="067B4A50"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73 (3.1%)</w:t>
            </w:r>
          </w:p>
        </w:tc>
        <w:tc>
          <w:tcPr>
            <w:tcW w:w="1530" w:type="dxa"/>
            <w:tcBorders>
              <w:top w:val="single" w:sz="4" w:space="0" w:color="auto"/>
              <w:bottom w:val="single" w:sz="4" w:space="0" w:color="auto"/>
            </w:tcBorders>
            <w:vAlign w:val="center"/>
          </w:tcPr>
          <w:p w14:paraId="42DE91CB"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49 (1.6%)</w:t>
            </w:r>
          </w:p>
        </w:tc>
        <w:tc>
          <w:tcPr>
            <w:tcW w:w="810" w:type="dxa"/>
            <w:tcBorders>
              <w:top w:val="single" w:sz="4" w:space="0" w:color="auto"/>
              <w:bottom w:val="single" w:sz="4" w:space="0" w:color="auto"/>
              <w:right w:val="single" w:sz="4" w:space="0" w:color="auto"/>
            </w:tcBorders>
            <w:vAlign w:val="center"/>
          </w:tcPr>
          <w:p w14:paraId="6F8BE217"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0.101</w:t>
            </w:r>
          </w:p>
        </w:tc>
        <w:tc>
          <w:tcPr>
            <w:tcW w:w="1530" w:type="dxa"/>
            <w:tcBorders>
              <w:top w:val="single" w:sz="4" w:space="0" w:color="auto"/>
              <w:left w:val="single" w:sz="4" w:space="0" w:color="auto"/>
              <w:bottom w:val="single" w:sz="4" w:space="0" w:color="auto"/>
            </w:tcBorders>
            <w:vAlign w:val="center"/>
          </w:tcPr>
          <w:p w14:paraId="646D769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22 (2.4%)</w:t>
            </w:r>
          </w:p>
        </w:tc>
        <w:tc>
          <w:tcPr>
            <w:tcW w:w="1530" w:type="dxa"/>
            <w:tcBorders>
              <w:top w:val="single" w:sz="4" w:space="0" w:color="auto"/>
              <w:bottom w:val="single" w:sz="4" w:space="0" w:color="auto"/>
            </w:tcBorders>
            <w:vAlign w:val="center"/>
          </w:tcPr>
          <w:p w14:paraId="566BE1AA"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42 (1.3%)</w:t>
            </w:r>
          </w:p>
        </w:tc>
        <w:tc>
          <w:tcPr>
            <w:tcW w:w="815" w:type="dxa"/>
            <w:tcBorders>
              <w:top w:val="single" w:sz="4" w:space="0" w:color="auto"/>
              <w:bottom w:val="single" w:sz="4" w:space="0" w:color="auto"/>
            </w:tcBorders>
            <w:vAlign w:val="center"/>
          </w:tcPr>
          <w:p w14:paraId="03BD09EF" w14:textId="77777777" w:rsidR="009E4D77" w:rsidRPr="00B9107F" w:rsidRDefault="009E4D77" w:rsidP="001B4366">
            <w:pPr>
              <w:spacing w:after="0" w:line="240" w:lineRule="auto"/>
              <w:jc w:val="center"/>
              <w:rPr>
                <w:rFonts w:ascii="Times New Roman" w:hAnsi="Times New Roman" w:cs="Times New Roman"/>
                <w:sz w:val="20"/>
                <w:szCs w:val="20"/>
              </w:rPr>
            </w:pPr>
            <w:r w:rsidRPr="00B9107F">
              <w:rPr>
                <w:rFonts w:ascii="Times New Roman" w:hAnsi="Times New Roman" w:cs="Times New Roman"/>
                <w:sz w:val="20"/>
                <w:szCs w:val="20"/>
              </w:rPr>
              <w:t>0.076</w:t>
            </w:r>
          </w:p>
        </w:tc>
      </w:tr>
    </w:tbl>
    <w:p w14:paraId="5269348B" w14:textId="28CA0202" w:rsidR="009E4D77" w:rsidRPr="00B9107F" w:rsidRDefault="009E4D77" w:rsidP="009E4D77">
      <w:pPr>
        <w:pStyle w:val="FootnoteText"/>
        <w:spacing w:line="480" w:lineRule="auto"/>
        <w:rPr>
          <w:rStyle w:val="TextFootnote"/>
          <w:rFonts w:cs="Times New Roman"/>
          <w:vertAlign w:val="baseline"/>
        </w:rPr>
      </w:pPr>
      <w:r w:rsidRPr="00B9107F">
        <w:rPr>
          <w:rStyle w:val="TextFootnote"/>
          <w:rFonts w:cs="Times New Roman"/>
          <w:b/>
          <w:bCs/>
          <w:vertAlign w:val="baseline"/>
        </w:rPr>
        <w:t>Abbreviations:</w:t>
      </w:r>
      <w:r w:rsidRPr="00B9107F">
        <w:rPr>
          <w:rStyle w:val="TextFootnote"/>
          <w:rFonts w:cs="Times New Roman"/>
          <w:vertAlign w:val="baseline"/>
        </w:rPr>
        <w:t xml:space="preserve"> CCI, Charlson Comorbidity Index; NOS, </w:t>
      </w:r>
      <w:proofErr w:type="gramStart"/>
      <w:r w:rsidR="003D6F4D" w:rsidRPr="00B9107F">
        <w:rPr>
          <w:rStyle w:val="TextFootnote"/>
          <w:rFonts w:cs="Times New Roman"/>
          <w:vertAlign w:val="baseline"/>
        </w:rPr>
        <w:t>N</w:t>
      </w:r>
      <w:r w:rsidRPr="00B9107F">
        <w:rPr>
          <w:rStyle w:val="TextFootnote"/>
          <w:rFonts w:cs="Times New Roman"/>
          <w:vertAlign w:val="baseline"/>
        </w:rPr>
        <w:t>ot</w:t>
      </w:r>
      <w:proofErr w:type="gramEnd"/>
      <w:r w:rsidRPr="00B9107F">
        <w:rPr>
          <w:rStyle w:val="TextFootnote"/>
          <w:rFonts w:cs="Times New Roman"/>
          <w:vertAlign w:val="baseline"/>
        </w:rPr>
        <w:t xml:space="preserve"> otherwise specified; PBC, </w:t>
      </w:r>
      <w:r w:rsidR="003D6F4D" w:rsidRPr="00B9107F">
        <w:rPr>
          <w:rStyle w:val="TextFootnote"/>
          <w:rFonts w:cs="Times New Roman"/>
          <w:vertAlign w:val="baseline"/>
        </w:rPr>
        <w:t>P</w:t>
      </w:r>
      <w:r w:rsidRPr="00B9107F">
        <w:rPr>
          <w:rStyle w:val="TextFootnote"/>
          <w:rFonts w:cs="Times New Roman"/>
          <w:vertAlign w:val="baseline"/>
        </w:rPr>
        <w:t xml:space="preserve">rimary biliary cholangitis; SD, </w:t>
      </w:r>
      <w:r w:rsidR="003D6F4D" w:rsidRPr="00B9107F">
        <w:rPr>
          <w:rStyle w:val="TextFootnote"/>
          <w:rFonts w:cs="Times New Roman"/>
          <w:vertAlign w:val="baseline"/>
        </w:rPr>
        <w:t>S</w:t>
      </w:r>
      <w:r w:rsidRPr="00B9107F">
        <w:rPr>
          <w:rStyle w:val="TextFootnote"/>
          <w:rFonts w:cs="Times New Roman"/>
          <w:vertAlign w:val="baseline"/>
        </w:rPr>
        <w:t xml:space="preserve">tandard deviation; SMD, </w:t>
      </w:r>
      <w:r w:rsidR="003D6F4D" w:rsidRPr="00B9107F">
        <w:rPr>
          <w:rStyle w:val="TextFootnote"/>
          <w:rFonts w:cs="Times New Roman"/>
          <w:vertAlign w:val="baseline"/>
        </w:rPr>
        <w:t>S</w:t>
      </w:r>
      <w:r w:rsidRPr="00B9107F">
        <w:rPr>
          <w:rStyle w:val="TextFootnote"/>
          <w:rFonts w:cs="Times New Roman"/>
          <w:vertAlign w:val="baseline"/>
        </w:rPr>
        <w:t>tandardized mean difference.</w:t>
      </w:r>
    </w:p>
    <w:p w14:paraId="29118AC5" w14:textId="77777777" w:rsidR="009E4D77" w:rsidRPr="00B9107F" w:rsidRDefault="009E4D77" w:rsidP="009E4D77">
      <w:pPr>
        <w:pStyle w:val="FootnoteText"/>
        <w:spacing w:line="480" w:lineRule="auto"/>
        <w:rPr>
          <w:rStyle w:val="TextFootnote"/>
          <w:rFonts w:cs="Times New Roman"/>
          <w:vertAlign w:val="baseline"/>
        </w:rPr>
      </w:pPr>
      <w:r w:rsidRPr="00B9107F">
        <w:rPr>
          <w:rStyle w:val="TextFootnote"/>
          <w:rFonts w:cs="Times New Roman"/>
        </w:rPr>
        <w:t>1</w:t>
      </w:r>
      <w:r w:rsidRPr="00B9107F">
        <w:rPr>
          <w:rStyle w:val="TextFootnote"/>
          <w:rFonts w:cs="Times New Roman"/>
          <w:vertAlign w:val="baseline"/>
        </w:rPr>
        <w:t>SMD ≥0.1 was considered as imbalanced between the matched pairs.</w:t>
      </w:r>
    </w:p>
    <w:p w14:paraId="21056BFA" w14:textId="6C3C7236" w:rsidR="009E4D77" w:rsidRPr="00B9107F" w:rsidRDefault="009E4D77" w:rsidP="009E4D77">
      <w:pPr>
        <w:pStyle w:val="FootnoteText"/>
        <w:spacing w:line="480" w:lineRule="auto"/>
        <w:rPr>
          <w:rFonts w:cs="Times New Roman"/>
        </w:rPr>
      </w:pPr>
      <w:r w:rsidRPr="00B9107F">
        <w:rPr>
          <w:rFonts w:cs="Times New Roman"/>
          <w:vertAlign w:val="superscript"/>
          <w:lang w:val="en-US"/>
        </w:rPr>
        <w:t>2</w:t>
      </w:r>
      <w:r w:rsidRPr="00B9107F">
        <w:rPr>
          <w:rFonts w:cs="Times New Roman"/>
        </w:rPr>
        <w:t>Year of first use of PBC diagnostic code post-2016.</w:t>
      </w:r>
    </w:p>
    <w:p w14:paraId="680C2970" w14:textId="77777777" w:rsidR="009E4D77" w:rsidRPr="00B9107F" w:rsidRDefault="009E4D77" w:rsidP="009E4D77">
      <w:pPr>
        <w:pStyle w:val="FootnoteText"/>
        <w:spacing w:line="480" w:lineRule="auto"/>
        <w:rPr>
          <w:rStyle w:val="TextFootnote"/>
          <w:rFonts w:eastAsia="SimSun" w:cs="Times New Roman"/>
          <w:vertAlign w:val="baseline"/>
          <w:lang w:val="en-US"/>
        </w:rPr>
      </w:pPr>
      <w:r w:rsidRPr="00B9107F">
        <w:rPr>
          <w:rStyle w:val="TextFootnote"/>
          <w:rFonts w:eastAsia="SimSun" w:cs="Times New Roman"/>
          <w:lang w:val="en-US"/>
        </w:rPr>
        <w:t>3</w:t>
      </w:r>
      <w:r w:rsidRPr="00B9107F">
        <w:rPr>
          <w:rStyle w:val="TextFootnote"/>
          <w:rFonts w:eastAsia="SimSun" w:cs="Times New Roman"/>
          <w:vertAlign w:val="baseline"/>
          <w:lang w:val="en-US"/>
        </w:rPr>
        <w:t>PBC duration is measured from the first observed PBC diagnosis to the index date.</w:t>
      </w:r>
    </w:p>
    <w:p w14:paraId="359EA2CD" w14:textId="77777777" w:rsidR="009E4D77" w:rsidRPr="00B9107F" w:rsidRDefault="009E4D77" w:rsidP="009E4D77">
      <w:pPr>
        <w:pStyle w:val="BodyText12"/>
        <w:spacing w:line="480" w:lineRule="auto"/>
        <w:rPr>
          <w:rStyle w:val="TextFootnote"/>
          <w:sz w:val="20"/>
          <w:vertAlign w:val="baseline"/>
        </w:rPr>
      </w:pPr>
      <w:r w:rsidRPr="00B9107F">
        <w:rPr>
          <w:rStyle w:val="TextFootnote"/>
          <w:sz w:val="20"/>
        </w:rPr>
        <w:t>4</w:t>
      </w:r>
      <w:r w:rsidRPr="00B9107F">
        <w:rPr>
          <w:rStyle w:val="TextFootnote"/>
          <w:sz w:val="20"/>
          <w:vertAlign w:val="baseline"/>
        </w:rPr>
        <w:t>CCI was calculated based on Quan et al. 2011.</w:t>
      </w:r>
      <w:r w:rsidRPr="00B9107F">
        <w:rPr>
          <w:rStyle w:val="TextFootnote"/>
          <w:sz w:val="20"/>
          <w:vertAlign w:val="baseline"/>
        </w:rPr>
        <w:fldChar w:fldCharType="begin"/>
      </w:r>
      <w:r w:rsidRPr="00B9107F">
        <w:rPr>
          <w:rStyle w:val="TextFootnote"/>
          <w:sz w:val="20"/>
          <w:vertAlign w:val="baseline"/>
        </w:rPr>
        <w:instrText xml:space="preserve"> ADDIN EN.CITE &lt;EndNote&gt;&lt;Cite&gt;&lt;Author&gt;Quan&lt;/Author&gt;&lt;Year&gt;2011&lt;/Year&gt;&lt;RecNum&gt;51&lt;/RecNum&gt;&lt;DisplayText&gt;[1]&lt;/DisplayText&gt;&lt;record&gt;&lt;rec-number&gt;51&lt;/rec-number&gt;&lt;foreign-keys&gt;&lt;key app="EN" db-id="tz995xw2t000aaetzxhptazae5sv25rwtzrd" timestamp="1733238661"&gt;51&lt;/key&gt;&lt;/foreign-keys&gt;&lt;ref-type name="Journal Article"&gt;17&lt;/ref-type&gt;&lt;contributors&gt;&lt;authors&gt;&lt;author&gt;Quan, H.&lt;/author&gt;&lt;author&gt;Li, B.&lt;/author&gt;&lt;author&gt;Couris, C. M.&lt;/author&gt;&lt;author&gt;Fushimi, K.&lt;/author&gt;&lt;author&gt;Graham, P.&lt;/author&gt;&lt;author&gt;Hider, P.&lt;/author&gt;&lt;author&gt;Januel, J.M.&lt;/author&gt;&lt;author&gt;Sundararajan, V.&lt;/author&gt;&lt;/authors&gt;&lt;/contributors&gt;&lt;titles&gt;&lt;title&gt;Updating and validating the Charlson Comorbidity Index and score for risk adjustment in hospital discharge abstracts using data from 6 countries&lt;/title&gt;&lt;secondary-title&gt;Am J Epidemiol&lt;/secondary-title&gt;&lt;/titles&gt;&lt;periodical&gt;&lt;full-title&gt;Am J Epidemiol&lt;/full-title&gt;&lt;/periodical&gt;&lt;pages&gt;676-682&lt;/pages&gt;&lt;volume&gt;173&lt;/volume&gt;&lt;number&gt;6&lt;/number&gt;&lt;dates&gt;&lt;year&gt;2011&lt;/year&gt;&lt;/dates&gt;&lt;urls&gt;&lt;/urls&gt;&lt;electronic-resource-num&gt;10.1093/aje/kwq433&lt;/electronic-resource-num&gt;&lt;/record&gt;&lt;/Cite&gt;&lt;/EndNote&gt;</w:instrText>
      </w:r>
      <w:r w:rsidRPr="00B9107F">
        <w:rPr>
          <w:rStyle w:val="TextFootnote"/>
          <w:sz w:val="20"/>
          <w:vertAlign w:val="baseline"/>
        </w:rPr>
        <w:fldChar w:fldCharType="separate"/>
      </w:r>
      <w:r w:rsidRPr="00B9107F">
        <w:rPr>
          <w:rStyle w:val="TextFootnote"/>
          <w:noProof/>
          <w:sz w:val="20"/>
          <w:vertAlign w:val="baseline"/>
        </w:rPr>
        <w:t>[1]</w:t>
      </w:r>
      <w:r w:rsidRPr="00B9107F">
        <w:rPr>
          <w:rStyle w:val="TextFootnote"/>
          <w:sz w:val="20"/>
          <w:vertAlign w:val="baseline"/>
        </w:rPr>
        <w:fldChar w:fldCharType="end"/>
      </w:r>
    </w:p>
    <w:p w14:paraId="21D868A4" w14:textId="77777777" w:rsidR="009E4D77" w:rsidRPr="00B9107F" w:rsidRDefault="009E4D77" w:rsidP="009E4D77">
      <w:pPr>
        <w:pStyle w:val="Heading0"/>
        <w:spacing w:line="480" w:lineRule="auto"/>
        <w:rPr>
          <w:rFonts w:ascii="Times New Roman" w:hAnsi="Times New Roman"/>
          <w:szCs w:val="24"/>
        </w:rPr>
      </w:pPr>
      <w:bookmarkStart w:id="2" w:name="_Toc193194781"/>
      <w:r w:rsidRPr="00B9107F">
        <w:rPr>
          <w:rStyle w:val="TextFootnote"/>
          <w:rFonts w:ascii="Times New Roman" w:hAnsi="Times New Roman"/>
          <w:szCs w:val="24"/>
          <w:vertAlign w:val="baseline"/>
        </w:rPr>
        <w:lastRenderedPageBreak/>
        <w:t>REFERENCES</w:t>
      </w:r>
      <w:bookmarkEnd w:id="2"/>
    </w:p>
    <w:p w14:paraId="06333113" w14:textId="081389D6" w:rsidR="009E4D77" w:rsidRPr="00B9107F" w:rsidRDefault="009E4D77" w:rsidP="009135FA">
      <w:pPr>
        <w:pStyle w:val="EndNoteBibliography"/>
        <w:spacing w:after="0"/>
        <w:ind w:left="720" w:hanging="720"/>
        <w:rPr>
          <w:rFonts w:ascii="Times New Roman" w:hAnsi="Times New Roman" w:cs="Times New Roman"/>
        </w:rPr>
      </w:pPr>
      <w:r w:rsidRPr="00B9107F">
        <w:rPr>
          <w:rFonts w:ascii="Times New Roman" w:hAnsi="Times New Roman" w:cs="Times New Roman"/>
          <w:szCs w:val="24"/>
        </w:rPr>
        <w:fldChar w:fldCharType="begin"/>
      </w:r>
      <w:r w:rsidRPr="00B9107F">
        <w:rPr>
          <w:rFonts w:ascii="Times New Roman" w:hAnsi="Times New Roman" w:cs="Times New Roman"/>
          <w:szCs w:val="24"/>
          <w:lang w:val="fr-FR"/>
        </w:rPr>
        <w:instrText xml:space="preserve"> ADDIN EN.REFLIST </w:instrText>
      </w:r>
      <w:r w:rsidRPr="00B9107F">
        <w:rPr>
          <w:rFonts w:ascii="Times New Roman" w:hAnsi="Times New Roman" w:cs="Times New Roman"/>
          <w:szCs w:val="24"/>
        </w:rPr>
        <w:fldChar w:fldCharType="separate"/>
      </w:r>
      <w:r w:rsidRPr="00B9107F">
        <w:rPr>
          <w:rFonts w:ascii="Times New Roman" w:hAnsi="Times New Roman" w:cs="Times New Roman"/>
          <w:lang w:val="fr-FR"/>
        </w:rPr>
        <w:t>1.</w:t>
      </w:r>
      <w:r w:rsidRPr="00B9107F">
        <w:rPr>
          <w:rFonts w:ascii="Times New Roman" w:hAnsi="Times New Roman" w:cs="Times New Roman"/>
          <w:lang w:val="fr-FR"/>
        </w:rPr>
        <w:tab/>
        <w:t xml:space="preserve">Quan H, Li B, Couris CM </w:t>
      </w:r>
      <w:r w:rsidRPr="00B9107F">
        <w:rPr>
          <w:rFonts w:ascii="Times New Roman" w:hAnsi="Times New Roman" w:cs="Times New Roman"/>
          <w:i/>
          <w:iCs/>
          <w:lang w:val="fr-FR"/>
        </w:rPr>
        <w:t>et al</w:t>
      </w:r>
      <w:r w:rsidRPr="00B9107F">
        <w:rPr>
          <w:rFonts w:ascii="Times New Roman" w:hAnsi="Times New Roman" w:cs="Times New Roman"/>
          <w:lang w:val="fr-FR"/>
        </w:rPr>
        <w:t xml:space="preserve">. </w:t>
      </w:r>
      <w:r w:rsidRPr="00B9107F">
        <w:rPr>
          <w:rFonts w:ascii="Times New Roman" w:hAnsi="Times New Roman" w:cs="Times New Roman"/>
        </w:rPr>
        <w:t xml:space="preserve">Updating and validating the Charlson Comorbidity Index and score for risk adjustment in hospital discharge abstracts using data from 6 countries. </w:t>
      </w:r>
      <w:r w:rsidRPr="00B9107F">
        <w:rPr>
          <w:rFonts w:ascii="Times New Roman" w:hAnsi="Times New Roman" w:cs="Times New Roman"/>
          <w:i/>
        </w:rPr>
        <w:t>Am J Epidemiol</w:t>
      </w:r>
      <w:r w:rsidRPr="00B9107F">
        <w:rPr>
          <w:rFonts w:ascii="Times New Roman" w:hAnsi="Times New Roman" w:cs="Times New Roman"/>
        </w:rPr>
        <w:t>. 173, 676</w:t>
      </w:r>
      <w:r w:rsidR="003976E3" w:rsidRPr="00B9107F">
        <w:rPr>
          <w:rFonts w:cs="Times New Roman"/>
        </w:rPr>
        <w:t>–</w:t>
      </w:r>
      <w:r w:rsidRPr="00B9107F">
        <w:rPr>
          <w:rFonts w:ascii="Times New Roman" w:hAnsi="Times New Roman" w:cs="Times New Roman"/>
        </w:rPr>
        <w:t>682 (2011).</w:t>
      </w:r>
    </w:p>
    <w:p w14:paraId="6F34FBB6" w14:textId="2573D4CC" w:rsidR="000405D0" w:rsidRDefault="009E4D77" w:rsidP="009E4D77">
      <w:pPr>
        <w:pStyle w:val="Heading1"/>
        <w:rPr>
          <w:szCs w:val="24"/>
        </w:rPr>
      </w:pPr>
      <w:r w:rsidRPr="00B9107F">
        <w:rPr>
          <w:rFonts w:eastAsia="SimSun" w:cs="Times New Roman"/>
          <w:szCs w:val="24"/>
          <w:lang w:val="en-US"/>
        </w:rPr>
        <w:fldChar w:fldCharType="end"/>
      </w:r>
    </w:p>
    <w:sectPr w:rsidR="000405D0" w:rsidSect="001B194C">
      <w:footerReference w:type="default" r:id="rId23"/>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FAB2" w14:textId="77777777" w:rsidR="00D8210F" w:rsidRDefault="00D8210F">
      <w:pPr>
        <w:spacing w:after="0" w:line="240" w:lineRule="auto"/>
      </w:pPr>
      <w:r>
        <w:separator/>
      </w:r>
    </w:p>
  </w:endnote>
  <w:endnote w:type="continuationSeparator" w:id="0">
    <w:p w14:paraId="5356A784" w14:textId="77777777" w:rsidR="00D8210F" w:rsidRDefault="00D8210F">
      <w:pPr>
        <w:spacing w:after="0" w:line="240" w:lineRule="auto"/>
      </w:pPr>
      <w:r>
        <w:continuationSeparator/>
      </w:r>
    </w:p>
  </w:endnote>
  <w:endnote w:type="continuationNotice" w:id="1">
    <w:p w14:paraId="51989E63" w14:textId="77777777" w:rsidR="00D8210F" w:rsidRDefault="00D82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889A8" w14:textId="77777777" w:rsidR="00D87C60" w:rsidRPr="009135FA" w:rsidRDefault="00D87C60">
    <w:pPr>
      <w:pStyle w:val="Footer"/>
      <w:jc w:val="right"/>
      <w:rPr>
        <w:rFonts w:cs="Times New Roman"/>
      </w:rPr>
    </w:pPr>
    <w:r w:rsidRPr="003C6FFC">
      <w:rPr>
        <w:rFonts w:cs="Times New Roman"/>
      </w:rPr>
      <w:fldChar w:fldCharType="begin"/>
    </w:r>
    <w:r w:rsidRPr="009135FA">
      <w:rPr>
        <w:rFonts w:cs="Times New Roman"/>
      </w:rPr>
      <w:instrText xml:space="preserve"> PAGE   \* MERGEFORMAT </w:instrText>
    </w:r>
    <w:r w:rsidRPr="003C6FFC">
      <w:rPr>
        <w:rFonts w:cs="Times New Roman"/>
      </w:rPr>
      <w:fldChar w:fldCharType="separate"/>
    </w:r>
    <w:r w:rsidRPr="009135FA">
      <w:rPr>
        <w:rFonts w:cs="Times New Roman"/>
        <w:noProof/>
      </w:rPr>
      <w:t>1</w:t>
    </w:r>
    <w:r w:rsidRPr="003C6FFC">
      <w:rPr>
        <w:rFonts w:cs="Times New Roman"/>
      </w:rPr>
      <w:fldChar w:fldCharType="end"/>
    </w:r>
  </w:p>
  <w:p w14:paraId="4135C9EC" w14:textId="77777777" w:rsidR="00D87C60" w:rsidRDefault="00D87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9ED7E" w14:textId="77777777" w:rsidR="00D8210F" w:rsidRDefault="00D8210F">
      <w:pPr>
        <w:spacing w:after="0" w:line="240" w:lineRule="auto"/>
      </w:pPr>
      <w:r>
        <w:separator/>
      </w:r>
    </w:p>
  </w:footnote>
  <w:footnote w:type="continuationSeparator" w:id="0">
    <w:p w14:paraId="73EEACAB" w14:textId="77777777" w:rsidR="00D8210F" w:rsidRDefault="00D8210F">
      <w:pPr>
        <w:spacing w:after="0" w:line="240" w:lineRule="auto"/>
      </w:pPr>
      <w:r>
        <w:continuationSeparator/>
      </w:r>
    </w:p>
  </w:footnote>
  <w:footnote w:type="continuationNotice" w:id="1">
    <w:p w14:paraId="44760023" w14:textId="77777777" w:rsidR="00D8210F" w:rsidRDefault="00D8210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FB"/>
    <w:multiLevelType w:val="multilevel"/>
    <w:tmpl w:val="EE641898"/>
    <w:lvl w:ilvl="0">
      <w:start w:val="1"/>
      <w:numFmt w:val="none"/>
      <w:pStyle w:val="Heading0"/>
      <w:suff w:val="nothing"/>
      <w:lvlText w:val=""/>
      <w:lvlJc w:val="left"/>
      <w:pPr>
        <w:ind w:left="0" w:firstLine="0"/>
      </w:pPr>
      <w:rPr>
        <w:rFonts w:hint="default"/>
      </w:rPr>
    </w:lvl>
    <w:lvl w:ilvl="1">
      <w:start w:val="1"/>
      <w:numFmt w:val="decimal"/>
      <w:lvlText w:val="%2."/>
      <w:lvlJc w:val="left"/>
      <w:pPr>
        <w:tabs>
          <w:tab w:val="num" w:pos="821"/>
        </w:tabs>
        <w:ind w:left="821" w:hanging="821"/>
      </w:pPr>
      <w:rPr>
        <w:rFonts w:hint="default"/>
      </w:rPr>
    </w:lvl>
    <w:lvl w:ilvl="2">
      <w:start w:val="1"/>
      <w:numFmt w:val="decimal"/>
      <w:lvlText w:val="%2.%3."/>
      <w:lvlJc w:val="left"/>
      <w:pPr>
        <w:tabs>
          <w:tab w:val="num" w:pos="821"/>
        </w:tabs>
        <w:ind w:left="821" w:hanging="821"/>
      </w:pPr>
      <w:rPr>
        <w:rFonts w:hint="default"/>
      </w:rPr>
    </w:lvl>
    <w:lvl w:ilvl="3">
      <w:start w:val="1"/>
      <w:numFmt w:val="decimal"/>
      <w:pStyle w:val="Heading3"/>
      <w:lvlText w:val="%2.%3.%4."/>
      <w:lvlJc w:val="left"/>
      <w:pPr>
        <w:tabs>
          <w:tab w:val="num" w:pos="1397"/>
        </w:tabs>
        <w:ind w:left="1397" w:hanging="1397"/>
      </w:pPr>
      <w:rPr>
        <w:rFonts w:hint="default"/>
      </w:rPr>
    </w:lvl>
    <w:lvl w:ilvl="4">
      <w:start w:val="1"/>
      <w:numFmt w:val="decimal"/>
      <w:pStyle w:val="Heading4"/>
      <w:lvlText w:val="%2.%3.%4.%5."/>
      <w:lvlJc w:val="left"/>
      <w:pPr>
        <w:tabs>
          <w:tab w:val="num" w:pos="1397"/>
        </w:tabs>
        <w:ind w:left="1397" w:hanging="1397"/>
      </w:pPr>
      <w:rPr>
        <w:rFonts w:hint="default"/>
      </w:rPr>
    </w:lvl>
    <w:lvl w:ilvl="5">
      <w:start w:val="1"/>
      <w:numFmt w:val="decimal"/>
      <w:pStyle w:val="Heading5"/>
      <w:lvlText w:val="%2.%3.%4.%5.%6."/>
      <w:lvlJc w:val="left"/>
      <w:pPr>
        <w:tabs>
          <w:tab w:val="num" w:pos="1397"/>
        </w:tabs>
        <w:ind w:left="1397" w:hanging="1397"/>
      </w:pPr>
      <w:rPr>
        <w:rFonts w:hint="default"/>
      </w:rPr>
    </w:lvl>
    <w:lvl w:ilvl="6">
      <w:start w:val="1"/>
      <w:numFmt w:val="decimal"/>
      <w:lvlText w:val="%2.%3.%4.%5.%6.%7."/>
      <w:lvlJc w:val="left"/>
      <w:pPr>
        <w:tabs>
          <w:tab w:val="num" w:pos="2160"/>
        </w:tabs>
        <w:ind w:left="2160" w:hanging="2160"/>
      </w:pPr>
      <w:rPr>
        <w:rFonts w:hint="default"/>
      </w:rPr>
    </w:lvl>
    <w:lvl w:ilvl="7">
      <w:start w:val="1"/>
      <w:numFmt w:val="decimal"/>
      <w:pStyle w:val="Heading7"/>
      <w:lvlText w:val="%2.%3.%4.%5.%6.%7.%8."/>
      <w:lvlJc w:val="left"/>
      <w:pPr>
        <w:tabs>
          <w:tab w:val="num" w:pos="2160"/>
        </w:tabs>
        <w:ind w:left="2160" w:hanging="2160"/>
      </w:pPr>
      <w:rPr>
        <w:rFonts w:hint="default"/>
      </w:rPr>
    </w:lvl>
    <w:lvl w:ilvl="8">
      <w:start w:val="1"/>
      <w:numFmt w:val="decimal"/>
      <w:pStyle w:val="Heading8"/>
      <w:lvlText w:val="%2.%3.%4.%5.%6.%7.%8.%9."/>
      <w:lvlJc w:val="left"/>
      <w:pPr>
        <w:tabs>
          <w:tab w:val="num" w:pos="2160"/>
        </w:tabs>
        <w:ind w:left="2160" w:hanging="2160"/>
      </w:pPr>
      <w:rPr>
        <w:rFonts w:hint="default"/>
      </w:rPr>
    </w:lvl>
  </w:abstractNum>
  <w:abstractNum w:abstractNumId="2" w15:restartNumberingAfterBreak="0">
    <w:nsid w:val="0ADD6310"/>
    <w:multiLevelType w:val="multilevel"/>
    <w:tmpl w:val="734CB7BA"/>
    <w:lvl w:ilvl="0">
      <w:start w:val="1"/>
      <w:numFmt w:val="bullet"/>
      <w:pStyle w:val="AG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0D3F5D6D"/>
    <w:multiLevelType w:val="hybridMultilevel"/>
    <w:tmpl w:val="483A6266"/>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01">
      <w:start w:val="1"/>
      <w:numFmt w:val="bullet"/>
      <w:lvlText w:val=""/>
      <w:lvlJc w:val="left"/>
      <w:pPr>
        <w:ind w:left="720" w:hanging="36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44400"/>
    <w:multiLevelType w:val="hybridMultilevel"/>
    <w:tmpl w:val="CE204D7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8260E8"/>
    <w:multiLevelType w:val="multilevel"/>
    <w:tmpl w:val="F8A20CC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6" w15:restartNumberingAfterBreak="0">
    <w:nsid w:val="2AE371D2"/>
    <w:multiLevelType w:val="hybridMultilevel"/>
    <w:tmpl w:val="8A64B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86529B"/>
    <w:multiLevelType w:val="multilevel"/>
    <w:tmpl w:val="8788016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lef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left"/>
      <w:pPr>
        <w:ind w:left="6840" w:hanging="180"/>
      </w:pPr>
    </w:lvl>
  </w:abstractNum>
  <w:abstractNum w:abstractNumId="8" w15:restartNumberingAfterBreak="0">
    <w:nsid w:val="51056381"/>
    <w:multiLevelType w:val="multilevel"/>
    <w:tmpl w:val="26A0170A"/>
    <w:lvl w:ilvl="0">
      <w:start w:val="1"/>
      <w:numFmt w:val="bullet"/>
      <w:pStyle w:val="10Bullet"/>
      <w:lvlText w:val="●"/>
      <w:lvlJc w:val="left"/>
      <w:pPr>
        <w:tabs>
          <w:tab w:val="num" w:pos="425"/>
        </w:tabs>
        <w:ind w:left="425" w:hanging="425"/>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41E21B2"/>
    <w:multiLevelType w:val="hybridMultilevel"/>
    <w:tmpl w:val="055E31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35E1F69"/>
    <w:multiLevelType w:val="multilevel"/>
    <w:tmpl w:val="52B67752"/>
    <w:lvl w:ilvl="0">
      <w:start w:val="1"/>
      <w:numFmt w:val="upperLetter"/>
      <w:lvlText w:val="(%1)"/>
      <w:lvlJc w:val="left"/>
      <w:pPr>
        <w:ind w:left="86" w:hanging="360"/>
      </w:pPr>
    </w:lvl>
    <w:lvl w:ilvl="1">
      <w:start w:val="1"/>
      <w:numFmt w:val="lowerLetter"/>
      <w:lvlText w:val="%2."/>
      <w:lvlJc w:val="left"/>
      <w:pPr>
        <w:ind w:left="806" w:hanging="360"/>
      </w:pPr>
    </w:lvl>
    <w:lvl w:ilvl="2">
      <w:start w:val="1"/>
      <w:numFmt w:val="lowerRoman"/>
      <w:lvlText w:val="%3."/>
      <w:lvlJc w:val="left"/>
      <w:pPr>
        <w:ind w:left="1526" w:hanging="180"/>
      </w:pPr>
    </w:lvl>
    <w:lvl w:ilvl="3">
      <w:start w:val="1"/>
      <w:numFmt w:val="decimal"/>
      <w:lvlText w:val="%4."/>
      <w:lvlJc w:val="left"/>
      <w:pPr>
        <w:ind w:left="2246" w:hanging="360"/>
      </w:pPr>
    </w:lvl>
    <w:lvl w:ilvl="4">
      <w:start w:val="1"/>
      <w:numFmt w:val="lowerLetter"/>
      <w:lvlText w:val="%5."/>
      <w:lvlJc w:val="left"/>
      <w:pPr>
        <w:ind w:left="2966" w:hanging="360"/>
      </w:pPr>
    </w:lvl>
    <w:lvl w:ilvl="5">
      <w:start w:val="1"/>
      <w:numFmt w:val="lowerRoman"/>
      <w:lvlText w:val="%6."/>
      <w:lvlJc w:val="left"/>
      <w:pPr>
        <w:ind w:left="3686" w:hanging="180"/>
      </w:pPr>
    </w:lvl>
    <w:lvl w:ilvl="6">
      <w:start w:val="1"/>
      <w:numFmt w:val="decimal"/>
      <w:lvlText w:val="%7."/>
      <w:lvlJc w:val="left"/>
      <w:pPr>
        <w:ind w:left="4406" w:hanging="360"/>
      </w:pPr>
    </w:lvl>
    <w:lvl w:ilvl="7">
      <w:start w:val="1"/>
      <w:numFmt w:val="lowerLetter"/>
      <w:lvlText w:val="%8."/>
      <w:lvlJc w:val="left"/>
      <w:pPr>
        <w:ind w:left="5126" w:hanging="360"/>
      </w:pPr>
    </w:lvl>
    <w:lvl w:ilvl="8">
      <w:start w:val="1"/>
      <w:numFmt w:val="lowerRoman"/>
      <w:lvlText w:val="%9."/>
      <w:lvlJc w:val="left"/>
      <w:pPr>
        <w:ind w:left="5846" w:hanging="180"/>
      </w:pPr>
    </w:lvl>
  </w:abstractNum>
  <w:abstractNum w:abstractNumId="11" w15:restartNumberingAfterBreak="0">
    <w:nsid w:val="73A97494"/>
    <w:multiLevelType w:val="hybridMultilevel"/>
    <w:tmpl w:val="640CA0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CE81602"/>
    <w:multiLevelType w:val="multilevel"/>
    <w:tmpl w:val="0C068E7A"/>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lef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lef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left"/>
      <w:pPr>
        <w:ind w:left="6840" w:hanging="180"/>
      </w:pPr>
    </w:lvl>
  </w:abstractNum>
  <w:abstractNum w:abstractNumId="13" w15:restartNumberingAfterBreak="0">
    <w:nsid w:val="7DD825D7"/>
    <w:multiLevelType w:val="hybridMultilevel"/>
    <w:tmpl w:val="9232FEA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6638726">
    <w:abstractNumId w:val="8"/>
  </w:num>
  <w:num w:numId="2" w16cid:durableId="1856337858">
    <w:abstractNumId w:val="2"/>
  </w:num>
  <w:num w:numId="3" w16cid:durableId="1977643246">
    <w:abstractNumId w:val="1"/>
  </w:num>
  <w:num w:numId="4" w16cid:durableId="374427333">
    <w:abstractNumId w:val="6"/>
  </w:num>
  <w:num w:numId="5" w16cid:durableId="2127192267">
    <w:abstractNumId w:val="3"/>
  </w:num>
  <w:num w:numId="6" w16cid:durableId="1735665458">
    <w:abstractNumId w:val="9"/>
  </w:num>
  <w:num w:numId="7" w16cid:durableId="656113485">
    <w:abstractNumId w:val="11"/>
  </w:num>
  <w:num w:numId="8" w16cid:durableId="79106514">
    <w:abstractNumId w:val="5"/>
  </w:num>
  <w:num w:numId="9" w16cid:durableId="1553612303">
    <w:abstractNumId w:val="12"/>
  </w:num>
  <w:num w:numId="10" w16cid:durableId="756243923">
    <w:abstractNumId w:val="7"/>
  </w:num>
  <w:num w:numId="11" w16cid:durableId="748116687">
    <w:abstractNumId w:val="10"/>
  </w:num>
  <w:num w:numId="12" w16cid:durableId="320736411">
    <w:abstractNumId w:val="0"/>
  </w:num>
  <w:num w:numId="13" w16cid:durableId="1530026253">
    <w:abstractNumId w:val="13"/>
  </w:num>
  <w:num w:numId="14" w16cid:durableId="2121801933">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Vancouver (JAG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995xw2t000aaetzxhptazae5sv25rwtzrd&quot;&gt;Pruritis and Fatigue&lt;record-ids&gt;&lt;item&gt;4&lt;/item&gt;&lt;item&gt;5&lt;/item&gt;&lt;item&gt;10&lt;/item&gt;&lt;item&gt;13&lt;/item&gt;&lt;item&gt;14&lt;/item&gt;&lt;item&gt;15&lt;/item&gt;&lt;item&gt;16&lt;/item&gt;&lt;item&gt;17&lt;/item&gt;&lt;item&gt;23&lt;/item&gt;&lt;item&gt;24&lt;/item&gt;&lt;item&gt;28&lt;/item&gt;&lt;item&gt;29&lt;/item&gt;&lt;item&gt;31&lt;/item&gt;&lt;item&gt;33&lt;/item&gt;&lt;item&gt;35&lt;/item&gt;&lt;item&gt;36&lt;/item&gt;&lt;item&gt;39&lt;/item&gt;&lt;item&gt;40&lt;/item&gt;&lt;item&gt;41&lt;/item&gt;&lt;item&gt;42&lt;/item&gt;&lt;item&gt;43&lt;/item&gt;&lt;item&gt;46&lt;/item&gt;&lt;item&gt;47&lt;/item&gt;&lt;item&gt;48&lt;/item&gt;&lt;item&gt;50&lt;/item&gt;&lt;item&gt;51&lt;/item&gt;&lt;item&gt;52&lt;/item&gt;&lt;item&gt;53&lt;/item&gt;&lt;item&gt;54&lt;/item&gt;&lt;item&gt;55&lt;/item&gt;&lt;item&gt;56&lt;/item&gt;&lt;item&gt;58&lt;/item&gt;&lt;item&gt;59&lt;/item&gt;&lt;/record-ids&gt;&lt;/item&gt;&lt;/Libraries&gt;"/>
  </w:docVars>
  <w:rsids>
    <w:rsidRoot w:val="00B47730"/>
    <w:rsid w:val="0000121B"/>
    <w:rsid w:val="00001939"/>
    <w:rsid w:val="00001E33"/>
    <w:rsid w:val="00002534"/>
    <w:rsid w:val="0000408E"/>
    <w:rsid w:val="00005C2C"/>
    <w:rsid w:val="00005CB1"/>
    <w:rsid w:val="00006504"/>
    <w:rsid w:val="00006792"/>
    <w:rsid w:val="00007589"/>
    <w:rsid w:val="00012D3A"/>
    <w:rsid w:val="000131B7"/>
    <w:rsid w:val="00014A3A"/>
    <w:rsid w:val="00014AD3"/>
    <w:rsid w:val="000151C4"/>
    <w:rsid w:val="00017365"/>
    <w:rsid w:val="00017A9C"/>
    <w:rsid w:val="0002018A"/>
    <w:rsid w:val="00021469"/>
    <w:rsid w:val="00022D78"/>
    <w:rsid w:val="00023B3D"/>
    <w:rsid w:val="0002491A"/>
    <w:rsid w:val="00025500"/>
    <w:rsid w:val="000265FA"/>
    <w:rsid w:val="0002674D"/>
    <w:rsid w:val="00026CCF"/>
    <w:rsid w:val="00027B4D"/>
    <w:rsid w:val="00030540"/>
    <w:rsid w:val="000313A5"/>
    <w:rsid w:val="00031DFC"/>
    <w:rsid w:val="00033D6F"/>
    <w:rsid w:val="00034616"/>
    <w:rsid w:val="00034D66"/>
    <w:rsid w:val="00035552"/>
    <w:rsid w:val="00035D8C"/>
    <w:rsid w:val="000364A8"/>
    <w:rsid w:val="00036AE6"/>
    <w:rsid w:val="000405D0"/>
    <w:rsid w:val="00040FE8"/>
    <w:rsid w:val="00043256"/>
    <w:rsid w:val="000448E7"/>
    <w:rsid w:val="00045718"/>
    <w:rsid w:val="000459F3"/>
    <w:rsid w:val="000465D0"/>
    <w:rsid w:val="00052644"/>
    <w:rsid w:val="000526B1"/>
    <w:rsid w:val="0005270F"/>
    <w:rsid w:val="0005275D"/>
    <w:rsid w:val="00052FE0"/>
    <w:rsid w:val="00053232"/>
    <w:rsid w:val="00054096"/>
    <w:rsid w:val="00056913"/>
    <w:rsid w:val="00057CE9"/>
    <w:rsid w:val="0006063C"/>
    <w:rsid w:val="00060755"/>
    <w:rsid w:val="00063B70"/>
    <w:rsid w:val="00064021"/>
    <w:rsid w:val="00065F32"/>
    <w:rsid w:val="00066665"/>
    <w:rsid w:val="00067E55"/>
    <w:rsid w:val="00070D4E"/>
    <w:rsid w:val="00071C58"/>
    <w:rsid w:val="00072457"/>
    <w:rsid w:val="00072DD9"/>
    <w:rsid w:val="00074A3A"/>
    <w:rsid w:val="0007677E"/>
    <w:rsid w:val="00080720"/>
    <w:rsid w:val="00081523"/>
    <w:rsid w:val="00082D53"/>
    <w:rsid w:val="00083AA4"/>
    <w:rsid w:val="00085A53"/>
    <w:rsid w:val="000860BB"/>
    <w:rsid w:val="000861E3"/>
    <w:rsid w:val="00086560"/>
    <w:rsid w:val="0009091A"/>
    <w:rsid w:val="000914E7"/>
    <w:rsid w:val="0009190E"/>
    <w:rsid w:val="00091DA8"/>
    <w:rsid w:val="0009365C"/>
    <w:rsid w:val="00093D4A"/>
    <w:rsid w:val="00097E1C"/>
    <w:rsid w:val="000A1334"/>
    <w:rsid w:val="000A2772"/>
    <w:rsid w:val="000A59C9"/>
    <w:rsid w:val="000A65D7"/>
    <w:rsid w:val="000A72E2"/>
    <w:rsid w:val="000A7C0B"/>
    <w:rsid w:val="000B0372"/>
    <w:rsid w:val="000B19AA"/>
    <w:rsid w:val="000B1E7D"/>
    <w:rsid w:val="000B26F7"/>
    <w:rsid w:val="000B2E8E"/>
    <w:rsid w:val="000B464B"/>
    <w:rsid w:val="000B542D"/>
    <w:rsid w:val="000B7C4D"/>
    <w:rsid w:val="000C10ED"/>
    <w:rsid w:val="000C13A9"/>
    <w:rsid w:val="000C2E21"/>
    <w:rsid w:val="000C3EF4"/>
    <w:rsid w:val="000C4034"/>
    <w:rsid w:val="000C4439"/>
    <w:rsid w:val="000C7927"/>
    <w:rsid w:val="000D1CB5"/>
    <w:rsid w:val="000D1D2E"/>
    <w:rsid w:val="000D3F7B"/>
    <w:rsid w:val="000D482D"/>
    <w:rsid w:val="000D52CA"/>
    <w:rsid w:val="000D574F"/>
    <w:rsid w:val="000D602D"/>
    <w:rsid w:val="000D7CB4"/>
    <w:rsid w:val="000E1AD8"/>
    <w:rsid w:val="000E2977"/>
    <w:rsid w:val="000E3B2B"/>
    <w:rsid w:val="000E478D"/>
    <w:rsid w:val="000E5220"/>
    <w:rsid w:val="000E56AB"/>
    <w:rsid w:val="000E63B3"/>
    <w:rsid w:val="000E6A90"/>
    <w:rsid w:val="000E7D8E"/>
    <w:rsid w:val="000F0E2F"/>
    <w:rsid w:val="000F5F3A"/>
    <w:rsid w:val="000F6DC7"/>
    <w:rsid w:val="000F7891"/>
    <w:rsid w:val="000F7B06"/>
    <w:rsid w:val="000F7C52"/>
    <w:rsid w:val="001009AE"/>
    <w:rsid w:val="00100AD7"/>
    <w:rsid w:val="00101870"/>
    <w:rsid w:val="00102217"/>
    <w:rsid w:val="001029C2"/>
    <w:rsid w:val="00103986"/>
    <w:rsid w:val="00104385"/>
    <w:rsid w:val="001048B7"/>
    <w:rsid w:val="0010584C"/>
    <w:rsid w:val="001076F7"/>
    <w:rsid w:val="0011104E"/>
    <w:rsid w:val="00111219"/>
    <w:rsid w:val="00111564"/>
    <w:rsid w:val="001115B6"/>
    <w:rsid w:val="001115E9"/>
    <w:rsid w:val="00111F95"/>
    <w:rsid w:val="0011282C"/>
    <w:rsid w:val="00113118"/>
    <w:rsid w:val="001140E4"/>
    <w:rsid w:val="00115305"/>
    <w:rsid w:val="00115442"/>
    <w:rsid w:val="00115BF8"/>
    <w:rsid w:val="0011680D"/>
    <w:rsid w:val="00120062"/>
    <w:rsid w:val="0012055B"/>
    <w:rsid w:val="0012092A"/>
    <w:rsid w:val="001212A2"/>
    <w:rsid w:val="0012302A"/>
    <w:rsid w:val="00125035"/>
    <w:rsid w:val="00125B1B"/>
    <w:rsid w:val="00126124"/>
    <w:rsid w:val="00127969"/>
    <w:rsid w:val="00127CCC"/>
    <w:rsid w:val="00131D7D"/>
    <w:rsid w:val="00131E3B"/>
    <w:rsid w:val="0013360E"/>
    <w:rsid w:val="00134077"/>
    <w:rsid w:val="00134BC1"/>
    <w:rsid w:val="0013769B"/>
    <w:rsid w:val="00137827"/>
    <w:rsid w:val="00137F79"/>
    <w:rsid w:val="0014025B"/>
    <w:rsid w:val="0014097E"/>
    <w:rsid w:val="00140F05"/>
    <w:rsid w:val="00143404"/>
    <w:rsid w:val="00143D6E"/>
    <w:rsid w:val="00144820"/>
    <w:rsid w:val="00145672"/>
    <w:rsid w:val="00146198"/>
    <w:rsid w:val="00146571"/>
    <w:rsid w:val="0015074B"/>
    <w:rsid w:val="0015266E"/>
    <w:rsid w:val="001528F4"/>
    <w:rsid w:val="001546F1"/>
    <w:rsid w:val="00155111"/>
    <w:rsid w:val="0015534C"/>
    <w:rsid w:val="00156E4F"/>
    <w:rsid w:val="00161121"/>
    <w:rsid w:val="00161A36"/>
    <w:rsid w:val="00162E5E"/>
    <w:rsid w:val="00164708"/>
    <w:rsid w:val="001656DE"/>
    <w:rsid w:val="00167016"/>
    <w:rsid w:val="001670DF"/>
    <w:rsid w:val="00167D8B"/>
    <w:rsid w:val="00171C2A"/>
    <w:rsid w:val="00172A12"/>
    <w:rsid w:val="00173CB7"/>
    <w:rsid w:val="00173E60"/>
    <w:rsid w:val="00174469"/>
    <w:rsid w:val="00174A08"/>
    <w:rsid w:val="00175419"/>
    <w:rsid w:val="00175B95"/>
    <w:rsid w:val="001762AE"/>
    <w:rsid w:val="0017699E"/>
    <w:rsid w:val="00176A42"/>
    <w:rsid w:val="0017795C"/>
    <w:rsid w:val="0018017E"/>
    <w:rsid w:val="001812B0"/>
    <w:rsid w:val="00181598"/>
    <w:rsid w:val="00181790"/>
    <w:rsid w:val="00182337"/>
    <w:rsid w:val="001828AD"/>
    <w:rsid w:val="00182A9B"/>
    <w:rsid w:val="001835BA"/>
    <w:rsid w:val="00183D81"/>
    <w:rsid w:val="00183DB7"/>
    <w:rsid w:val="001861F7"/>
    <w:rsid w:val="00186289"/>
    <w:rsid w:val="00186F05"/>
    <w:rsid w:val="001872B5"/>
    <w:rsid w:val="0019024E"/>
    <w:rsid w:val="00192625"/>
    <w:rsid w:val="001926ED"/>
    <w:rsid w:val="0019303A"/>
    <w:rsid w:val="0019593D"/>
    <w:rsid w:val="00197C2C"/>
    <w:rsid w:val="00197E2D"/>
    <w:rsid w:val="001A1A65"/>
    <w:rsid w:val="001A29B7"/>
    <w:rsid w:val="001A2C20"/>
    <w:rsid w:val="001A30A9"/>
    <w:rsid w:val="001A35C1"/>
    <w:rsid w:val="001A3E4E"/>
    <w:rsid w:val="001A3FDD"/>
    <w:rsid w:val="001A4163"/>
    <w:rsid w:val="001A46A0"/>
    <w:rsid w:val="001A481E"/>
    <w:rsid w:val="001A5075"/>
    <w:rsid w:val="001A6F83"/>
    <w:rsid w:val="001A70AB"/>
    <w:rsid w:val="001A73F8"/>
    <w:rsid w:val="001A7FE6"/>
    <w:rsid w:val="001B178F"/>
    <w:rsid w:val="001B194C"/>
    <w:rsid w:val="001B3252"/>
    <w:rsid w:val="001B353F"/>
    <w:rsid w:val="001B362C"/>
    <w:rsid w:val="001B3858"/>
    <w:rsid w:val="001B3F61"/>
    <w:rsid w:val="001B48F0"/>
    <w:rsid w:val="001B579A"/>
    <w:rsid w:val="001B5BFB"/>
    <w:rsid w:val="001B739B"/>
    <w:rsid w:val="001B7C53"/>
    <w:rsid w:val="001B7D37"/>
    <w:rsid w:val="001C2A7B"/>
    <w:rsid w:val="001C2B50"/>
    <w:rsid w:val="001C3057"/>
    <w:rsid w:val="001C3E84"/>
    <w:rsid w:val="001C4E5C"/>
    <w:rsid w:val="001C5E5B"/>
    <w:rsid w:val="001C6ECB"/>
    <w:rsid w:val="001D00D1"/>
    <w:rsid w:val="001D13FF"/>
    <w:rsid w:val="001D18A4"/>
    <w:rsid w:val="001D31AF"/>
    <w:rsid w:val="001D4701"/>
    <w:rsid w:val="001D4ADF"/>
    <w:rsid w:val="001D5388"/>
    <w:rsid w:val="001D53A0"/>
    <w:rsid w:val="001D66F4"/>
    <w:rsid w:val="001D69FA"/>
    <w:rsid w:val="001D6EA6"/>
    <w:rsid w:val="001E0638"/>
    <w:rsid w:val="001E06C2"/>
    <w:rsid w:val="001E09F0"/>
    <w:rsid w:val="001E129F"/>
    <w:rsid w:val="001E12A8"/>
    <w:rsid w:val="001E1A3B"/>
    <w:rsid w:val="001E2A0F"/>
    <w:rsid w:val="001E33C3"/>
    <w:rsid w:val="001E4B89"/>
    <w:rsid w:val="001E6B39"/>
    <w:rsid w:val="001E790F"/>
    <w:rsid w:val="001E7D95"/>
    <w:rsid w:val="001F0ADE"/>
    <w:rsid w:val="001F30E0"/>
    <w:rsid w:val="001F3790"/>
    <w:rsid w:val="001F386E"/>
    <w:rsid w:val="001F3B51"/>
    <w:rsid w:val="001F496C"/>
    <w:rsid w:val="001F5F18"/>
    <w:rsid w:val="001F690E"/>
    <w:rsid w:val="001F7D66"/>
    <w:rsid w:val="00200961"/>
    <w:rsid w:val="00202807"/>
    <w:rsid w:val="00203CE2"/>
    <w:rsid w:val="00205C10"/>
    <w:rsid w:val="0020612D"/>
    <w:rsid w:val="00207148"/>
    <w:rsid w:val="00207673"/>
    <w:rsid w:val="00210B8C"/>
    <w:rsid w:val="00210C2A"/>
    <w:rsid w:val="00211564"/>
    <w:rsid w:val="00211D45"/>
    <w:rsid w:val="002134A0"/>
    <w:rsid w:val="00214DCD"/>
    <w:rsid w:val="002152D1"/>
    <w:rsid w:val="0021624A"/>
    <w:rsid w:val="00217059"/>
    <w:rsid w:val="00220010"/>
    <w:rsid w:val="00221B7C"/>
    <w:rsid w:val="00221D2F"/>
    <w:rsid w:val="002223EE"/>
    <w:rsid w:val="00223356"/>
    <w:rsid w:val="0022349B"/>
    <w:rsid w:val="00223582"/>
    <w:rsid w:val="00223F10"/>
    <w:rsid w:val="00224E51"/>
    <w:rsid w:val="002253DE"/>
    <w:rsid w:val="00226A6C"/>
    <w:rsid w:val="002300DB"/>
    <w:rsid w:val="002329AE"/>
    <w:rsid w:val="00232C8A"/>
    <w:rsid w:val="00235ED7"/>
    <w:rsid w:val="0023631C"/>
    <w:rsid w:val="00236945"/>
    <w:rsid w:val="002378A6"/>
    <w:rsid w:val="00237AE4"/>
    <w:rsid w:val="00237B2D"/>
    <w:rsid w:val="00237B54"/>
    <w:rsid w:val="00240065"/>
    <w:rsid w:val="002401E6"/>
    <w:rsid w:val="002406B7"/>
    <w:rsid w:val="002408BA"/>
    <w:rsid w:val="00240D09"/>
    <w:rsid w:val="00240EEF"/>
    <w:rsid w:val="00241773"/>
    <w:rsid w:val="00241B0B"/>
    <w:rsid w:val="00241E2C"/>
    <w:rsid w:val="00243671"/>
    <w:rsid w:val="00245C81"/>
    <w:rsid w:val="00245CBB"/>
    <w:rsid w:val="00246673"/>
    <w:rsid w:val="0024697C"/>
    <w:rsid w:val="00247E4E"/>
    <w:rsid w:val="00250858"/>
    <w:rsid w:val="00251420"/>
    <w:rsid w:val="00252C99"/>
    <w:rsid w:val="0025373F"/>
    <w:rsid w:val="00253998"/>
    <w:rsid w:val="0025595A"/>
    <w:rsid w:val="00255E7C"/>
    <w:rsid w:val="00256AD6"/>
    <w:rsid w:val="002573B7"/>
    <w:rsid w:val="0026112D"/>
    <w:rsid w:val="002616BC"/>
    <w:rsid w:val="00262911"/>
    <w:rsid w:val="00263C5B"/>
    <w:rsid w:val="00263F5D"/>
    <w:rsid w:val="00263F78"/>
    <w:rsid w:val="002643CA"/>
    <w:rsid w:val="00264D38"/>
    <w:rsid w:val="00265F45"/>
    <w:rsid w:val="002671F5"/>
    <w:rsid w:val="00267D4B"/>
    <w:rsid w:val="00271383"/>
    <w:rsid w:val="00271E6A"/>
    <w:rsid w:val="00272281"/>
    <w:rsid w:val="002748CB"/>
    <w:rsid w:val="00275A17"/>
    <w:rsid w:val="00275BCB"/>
    <w:rsid w:val="00275DE6"/>
    <w:rsid w:val="00276008"/>
    <w:rsid w:val="00276AAF"/>
    <w:rsid w:val="002771D3"/>
    <w:rsid w:val="00280162"/>
    <w:rsid w:val="0028053A"/>
    <w:rsid w:val="00281186"/>
    <w:rsid w:val="00281690"/>
    <w:rsid w:val="002826DD"/>
    <w:rsid w:val="002829D9"/>
    <w:rsid w:val="002830BA"/>
    <w:rsid w:val="00283F9A"/>
    <w:rsid w:val="00284EEA"/>
    <w:rsid w:val="0028589A"/>
    <w:rsid w:val="00291CE7"/>
    <w:rsid w:val="00291E10"/>
    <w:rsid w:val="00292334"/>
    <w:rsid w:val="002923A2"/>
    <w:rsid w:val="002925D0"/>
    <w:rsid w:val="002944A0"/>
    <w:rsid w:val="0029639D"/>
    <w:rsid w:val="002968B6"/>
    <w:rsid w:val="00296E93"/>
    <w:rsid w:val="002972B9"/>
    <w:rsid w:val="002A30CE"/>
    <w:rsid w:val="002A47EE"/>
    <w:rsid w:val="002A4CFD"/>
    <w:rsid w:val="002A57B6"/>
    <w:rsid w:val="002A66A9"/>
    <w:rsid w:val="002B2A02"/>
    <w:rsid w:val="002B3E0E"/>
    <w:rsid w:val="002B613D"/>
    <w:rsid w:val="002B6505"/>
    <w:rsid w:val="002B7192"/>
    <w:rsid w:val="002B73E9"/>
    <w:rsid w:val="002B7851"/>
    <w:rsid w:val="002B7EBF"/>
    <w:rsid w:val="002C13B6"/>
    <w:rsid w:val="002C1D39"/>
    <w:rsid w:val="002C2A23"/>
    <w:rsid w:val="002C4C38"/>
    <w:rsid w:val="002C582B"/>
    <w:rsid w:val="002C5874"/>
    <w:rsid w:val="002C5C36"/>
    <w:rsid w:val="002C6E32"/>
    <w:rsid w:val="002C6F1E"/>
    <w:rsid w:val="002C6F5D"/>
    <w:rsid w:val="002C7891"/>
    <w:rsid w:val="002D0CFC"/>
    <w:rsid w:val="002D1459"/>
    <w:rsid w:val="002D1A21"/>
    <w:rsid w:val="002D5E42"/>
    <w:rsid w:val="002D69DA"/>
    <w:rsid w:val="002D709D"/>
    <w:rsid w:val="002E0B22"/>
    <w:rsid w:val="002E1321"/>
    <w:rsid w:val="002E1903"/>
    <w:rsid w:val="002E1A9F"/>
    <w:rsid w:val="002E2192"/>
    <w:rsid w:val="002E2B14"/>
    <w:rsid w:val="002E4969"/>
    <w:rsid w:val="002E5267"/>
    <w:rsid w:val="002E56DF"/>
    <w:rsid w:val="002E6EFE"/>
    <w:rsid w:val="002E7604"/>
    <w:rsid w:val="002E799C"/>
    <w:rsid w:val="002F00CD"/>
    <w:rsid w:val="002F076F"/>
    <w:rsid w:val="002F13A5"/>
    <w:rsid w:val="002F1573"/>
    <w:rsid w:val="002F216E"/>
    <w:rsid w:val="002F6445"/>
    <w:rsid w:val="002F7700"/>
    <w:rsid w:val="002F7A1B"/>
    <w:rsid w:val="002F7BAC"/>
    <w:rsid w:val="00300601"/>
    <w:rsid w:val="00301850"/>
    <w:rsid w:val="00301CED"/>
    <w:rsid w:val="00302F1E"/>
    <w:rsid w:val="00302F4D"/>
    <w:rsid w:val="00303720"/>
    <w:rsid w:val="00304786"/>
    <w:rsid w:val="00306C56"/>
    <w:rsid w:val="00307B7B"/>
    <w:rsid w:val="00310551"/>
    <w:rsid w:val="00311BEE"/>
    <w:rsid w:val="00313787"/>
    <w:rsid w:val="003144AB"/>
    <w:rsid w:val="0031754E"/>
    <w:rsid w:val="00324412"/>
    <w:rsid w:val="00324FA9"/>
    <w:rsid w:val="00326345"/>
    <w:rsid w:val="00326F90"/>
    <w:rsid w:val="00327416"/>
    <w:rsid w:val="00327C4E"/>
    <w:rsid w:val="00330141"/>
    <w:rsid w:val="00330AD6"/>
    <w:rsid w:val="00330E12"/>
    <w:rsid w:val="00331173"/>
    <w:rsid w:val="003340BC"/>
    <w:rsid w:val="00334A2D"/>
    <w:rsid w:val="00335F34"/>
    <w:rsid w:val="00336BB3"/>
    <w:rsid w:val="00337FBF"/>
    <w:rsid w:val="00340DDE"/>
    <w:rsid w:val="003418BA"/>
    <w:rsid w:val="00342223"/>
    <w:rsid w:val="003423E3"/>
    <w:rsid w:val="003428C9"/>
    <w:rsid w:val="00342E1B"/>
    <w:rsid w:val="0034318E"/>
    <w:rsid w:val="00343B4B"/>
    <w:rsid w:val="00351108"/>
    <w:rsid w:val="00351718"/>
    <w:rsid w:val="00356864"/>
    <w:rsid w:val="00360DF2"/>
    <w:rsid w:val="00363B54"/>
    <w:rsid w:val="0036499A"/>
    <w:rsid w:val="00366746"/>
    <w:rsid w:val="00366D52"/>
    <w:rsid w:val="00367897"/>
    <w:rsid w:val="00367BC4"/>
    <w:rsid w:val="00370B32"/>
    <w:rsid w:val="00370EF4"/>
    <w:rsid w:val="00373343"/>
    <w:rsid w:val="003739AC"/>
    <w:rsid w:val="00374140"/>
    <w:rsid w:val="00374FEF"/>
    <w:rsid w:val="003763E8"/>
    <w:rsid w:val="00377000"/>
    <w:rsid w:val="0037769C"/>
    <w:rsid w:val="00381070"/>
    <w:rsid w:val="0038119F"/>
    <w:rsid w:val="00383241"/>
    <w:rsid w:val="00383530"/>
    <w:rsid w:val="00384585"/>
    <w:rsid w:val="00384DB3"/>
    <w:rsid w:val="003856B7"/>
    <w:rsid w:val="00385D8B"/>
    <w:rsid w:val="0038634E"/>
    <w:rsid w:val="00386630"/>
    <w:rsid w:val="00387175"/>
    <w:rsid w:val="0038792E"/>
    <w:rsid w:val="00390909"/>
    <w:rsid w:val="00392E0E"/>
    <w:rsid w:val="00393A4D"/>
    <w:rsid w:val="00393C08"/>
    <w:rsid w:val="00393CF3"/>
    <w:rsid w:val="00394A5B"/>
    <w:rsid w:val="003976E3"/>
    <w:rsid w:val="003A2786"/>
    <w:rsid w:val="003A31CE"/>
    <w:rsid w:val="003B036F"/>
    <w:rsid w:val="003B0718"/>
    <w:rsid w:val="003B0B60"/>
    <w:rsid w:val="003B271C"/>
    <w:rsid w:val="003B3162"/>
    <w:rsid w:val="003B4F99"/>
    <w:rsid w:val="003B532C"/>
    <w:rsid w:val="003B730F"/>
    <w:rsid w:val="003B7955"/>
    <w:rsid w:val="003C01EA"/>
    <w:rsid w:val="003C077C"/>
    <w:rsid w:val="003C08AC"/>
    <w:rsid w:val="003C1B29"/>
    <w:rsid w:val="003C2082"/>
    <w:rsid w:val="003C4FD1"/>
    <w:rsid w:val="003C5041"/>
    <w:rsid w:val="003C6746"/>
    <w:rsid w:val="003C6FFC"/>
    <w:rsid w:val="003D1BCE"/>
    <w:rsid w:val="003D2201"/>
    <w:rsid w:val="003D2495"/>
    <w:rsid w:val="003D38C3"/>
    <w:rsid w:val="003D5205"/>
    <w:rsid w:val="003D67F3"/>
    <w:rsid w:val="003D6F4D"/>
    <w:rsid w:val="003D76A4"/>
    <w:rsid w:val="003D7909"/>
    <w:rsid w:val="003D7ADB"/>
    <w:rsid w:val="003D7BD1"/>
    <w:rsid w:val="003E1E11"/>
    <w:rsid w:val="003E2D6B"/>
    <w:rsid w:val="003E33A5"/>
    <w:rsid w:val="003E3CBC"/>
    <w:rsid w:val="003E449B"/>
    <w:rsid w:val="003E4C46"/>
    <w:rsid w:val="003E648F"/>
    <w:rsid w:val="003E65EA"/>
    <w:rsid w:val="003E738E"/>
    <w:rsid w:val="003F08EC"/>
    <w:rsid w:val="003F0EE1"/>
    <w:rsid w:val="003F2AF5"/>
    <w:rsid w:val="003F4F2C"/>
    <w:rsid w:val="00402D7A"/>
    <w:rsid w:val="00403296"/>
    <w:rsid w:val="00403881"/>
    <w:rsid w:val="00405C8D"/>
    <w:rsid w:val="004071D1"/>
    <w:rsid w:val="00407764"/>
    <w:rsid w:val="00407A7A"/>
    <w:rsid w:val="00407B33"/>
    <w:rsid w:val="0041025B"/>
    <w:rsid w:val="0041203E"/>
    <w:rsid w:val="00412DB5"/>
    <w:rsid w:val="00413B9F"/>
    <w:rsid w:val="00417402"/>
    <w:rsid w:val="00417799"/>
    <w:rsid w:val="0042067A"/>
    <w:rsid w:val="00421E16"/>
    <w:rsid w:val="00423C14"/>
    <w:rsid w:val="00424373"/>
    <w:rsid w:val="00424786"/>
    <w:rsid w:val="00424A63"/>
    <w:rsid w:val="00424CBF"/>
    <w:rsid w:val="004268FC"/>
    <w:rsid w:val="00427402"/>
    <w:rsid w:val="004301E2"/>
    <w:rsid w:val="00430C76"/>
    <w:rsid w:val="00431803"/>
    <w:rsid w:val="00431AED"/>
    <w:rsid w:val="00432845"/>
    <w:rsid w:val="00433D99"/>
    <w:rsid w:val="0043403A"/>
    <w:rsid w:val="004345AF"/>
    <w:rsid w:val="00434BB5"/>
    <w:rsid w:val="004357E2"/>
    <w:rsid w:val="00436985"/>
    <w:rsid w:val="00437810"/>
    <w:rsid w:val="00440A26"/>
    <w:rsid w:val="00440EEA"/>
    <w:rsid w:val="004411B9"/>
    <w:rsid w:val="00441323"/>
    <w:rsid w:val="00441B6D"/>
    <w:rsid w:val="00441C71"/>
    <w:rsid w:val="00443E6E"/>
    <w:rsid w:val="00445BE9"/>
    <w:rsid w:val="00445D4F"/>
    <w:rsid w:val="00447115"/>
    <w:rsid w:val="00450BBE"/>
    <w:rsid w:val="00450BD8"/>
    <w:rsid w:val="004516E0"/>
    <w:rsid w:val="00453E84"/>
    <w:rsid w:val="00454627"/>
    <w:rsid w:val="0045492C"/>
    <w:rsid w:val="004566F8"/>
    <w:rsid w:val="004601C6"/>
    <w:rsid w:val="00461C7A"/>
    <w:rsid w:val="00462A11"/>
    <w:rsid w:val="00462E2E"/>
    <w:rsid w:val="00462FC2"/>
    <w:rsid w:val="00464BB0"/>
    <w:rsid w:val="00470298"/>
    <w:rsid w:val="00470E88"/>
    <w:rsid w:val="004728DE"/>
    <w:rsid w:val="004744F7"/>
    <w:rsid w:val="00474627"/>
    <w:rsid w:val="00475442"/>
    <w:rsid w:val="00475B6D"/>
    <w:rsid w:val="004779AE"/>
    <w:rsid w:val="00477E6E"/>
    <w:rsid w:val="00480DDE"/>
    <w:rsid w:val="004828B7"/>
    <w:rsid w:val="00482B2E"/>
    <w:rsid w:val="00482BB1"/>
    <w:rsid w:val="00483A25"/>
    <w:rsid w:val="00484203"/>
    <w:rsid w:val="004849BC"/>
    <w:rsid w:val="00490610"/>
    <w:rsid w:val="00491F97"/>
    <w:rsid w:val="00492EAC"/>
    <w:rsid w:val="004930ED"/>
    <w:rsid w:val="00494A58"/>
    <w:rsid w:val="0049512F"/>
    <w:rsid w:val="004A1022"/>
    <w:rsid w:val="004A4BE7"/>
    <w:rsid w:val="004A5148"/>
    <w:rsid w:val="004A5476"/>
    <w:rsid w:val="004A6B93"/>
    <w:rsid w:val="004B0000"/>
    <w:rsid w:val="004B1B3E"/>
    <w:rsid w:val="004B3D49"/>
    <w:rsid w:val="004B4617"/>
    <w:rsid w:val="004B723E"/>
    <w:rsid w:val="004B7568"/>
    <w:rsid w:val="004C1515"/>
    <w:rsid w:val="004C4957"/>
    <w:rsid w:val="004C5411"/>
    <w:rsid w:val="004C5CE1"/>
    <w:rsid w:val="004C70E7"/>
    <w:rsid w:val="004D0A6D"/>
    <w:rsid w:val="004D0C57"/>
    <w:rsid w:val="004D0F19"/>
    <w:rsid w:val="004D2DB2"/>
    <w:rsid w:val="004D3D22"/>
    <w:rsid w:val="004D6036"/>
    <w:rsid w:val="004D60E5"/>
    <w:rsid w:val="004D60E6"/>
    <w:rsid w:val="004D71DD"/>
    <w:rsid w:val="004D76A6"/>
    <w:rsid w:val="004E4849"/>
    <w:rsid w:val="004F0477"/>
    <w:rsid w:val="004F0A98"/>
    <w:rsid w:val="004F0B7D"/>
    <w:rsid w:val="004F0D05"/>
    <w:rsid w:val="004F156C"/>
    <w:rsid w:val="004F3863"/>
    <w:rsid w:val="004F3C46"/>
    <w:rsid w:val="004F3CC3"/>
    <w:rsid w:val="004F43F9"/>
    <w:rsid w:val="004F5E01"/>
    <w:rsid w:val="004F662A"/>
    <w:rsid w:val="005007A0"/>
    <w:rsid w:val="00503693"/>
    <w:rsid w:val="00503A97"/>
    <w:rsid w:val="00504FE1"/>
    <w:rsid w:val="00506AF4"/>
    <w:rsid w:val="00507E0C"/>
    <w:rsid w:val="00510D22"/>
    <w:rsid w:val="0051116B"/>
    <w:rsid w:val="0051394B"/>
    <w:rsid w:val="005147A7"/>
    <w:rsid w:val="00515161"/>
    <w:rsid w:val="0051557F"/>
    <w:rsid w:val="00515B85"/>
    <w:rsid w:val="00517D6F"/>
    <w:rsid w:val="005205DE"/>
    <w:rsid w:val="00520C76"/>
    <w:rsid w:val="00522603"/>
    <w:rsid w:val="00522688"/>
    <w:rsid w:val="005244E4"/>
    <w:rsid w:val="00526C32"/>
    <w:rsid w:val="00527792"/>
    <w:rsid w:val="00527E32"/>
    <w:rsid w:val="005311EB"/>
    <w:rsid w:val="0053150F"/>
    <w:rsid w:val="00531CB7"/>
    <w:rsid w:val="00532B0D"/>
    <w:rsid w:val="005402E7"/>
    <w:rsid w:val="0054099C"/>
    <w:rsid w:val="00541D9E"/>
    <w:rsid w:val="00542B71"/>
    <w:rsid w:val="00543F8F"/>
    <w:rsid w:val="00544106"/>
    <w:rsid w:val="005462E1"/>
    <w:rsid w:val="0055013E"/>
    <w:rsid w:val="00550E74"/>
    <w:rsid w:val="0055211D"/>
    <w:rsid w:val="00552E0A"/>
    <w:rsid w:val="00555623"/>
    <w:rsid w:val="00557B94"/>
    <w:rsid w:val="00561BA2"/>
    <w:rsid w:val="00561D14"/>
    <w:rsid w:val="00561F30"/>
    <w:rsid w:val="005639EA"/>
    <w:rsid w:val="00563CE5"/>
    <w:rsid w:val="00565E9A"/>
    <w:rsid w:val="0056725C"/>
    <w:rsid w:val="00567D9A"/>
    <w:rsid w:val="00571184"/>
    <w:rsid w:val="005717C2"/>
    <w:rsid w:val="00571D39"/>
    <w:rsid w:val="00571FA3"/>
    <w:rsid w:val="00571FFD"/>
    <w:rsid w:val="00573F60"/>
    <w:rsid w:val="00575E57"/>
    <w:rsid w:val="00575F43"/>
    <w:rsid w:val="00576053"/>
    <w:rsid w:val="00576072"/>
    <w:rsid w:val="00577170"/>
    <w:rsid w:val="00577875"/>
    <w:rsid w:val="00582B21"/>
    <w:rsid w:val="00584918"/>
    <w:rsid w:val="00585C1E"/>
    <w:rsid w:val="005861C2"/>
    <w:rsid w:val="005874C7"/>
    <w:rsid w:val="0059168C"/>
    <w:rsid w:val="00591CDE"/>
    <w:rsid w:val="00592535"/>
    <w:rsid w:val="00592821"/>
    <w:rsid w:val="00592E76"/>
    <w:rsid w:val="005940E5"/>
    <w:rsid w:val="00595300"/>
    <w:rsid w:val="005956AA"/>
    <w:rsid w:val="00596CCC"/>
    <w:rsid w:val="0059780B"/>
    <w:rsid w:val="00597BEE"/>
    <w:rsid w:val="00597FEF"/>
    <w:rsid w:val="005A0077"/>
    <w:rsid w:val="005A0595"/>
    <w:rsid w:val="005A0D1D"/>
    <w:rsid w:val="005A0E24"/>
    <w:rsid w:val="005A37C6"/>
    <w:rsid w:val="005A3932"/>
    <w:rsid w:val="005A51DB"/>
    <w:rsid w:val="005B0930"/>
    <w:rsid w:val="005B0A6D"/>
    <w:rsid w:val="005B1D9E"/>
    <w:rsid w:val="005B2269"/>
    <w:rsid w:val="005B2947"/>
    <w:rsid w:val="005B6956"/>
    <w:rsid w:val="005B7B5C"/>
    <w:rsid w:val="005C00A9"/>
    <w:rsid w:val="005C0411"/>
    <w:rsid w:val="005C0A57"/>
    <w:rsid w:val="005C0F21"/>
    <w:rsid w:val="005C1C54"/>
    <w:rsid w:val="005C309E"/>
    <w:rsid w:val="005C3180"/>
    <w:rsid w:val="005C359A"/>
    <w:rsid w:val="005C3FF0"/>
    <w:rsid w:val="005C40AE"/>
    <w:rsid w:val="005C435B"/>
    <w:rsid w:val="005C4839"/>
    <w:rsid w:val="005C543A"/>
    <w:rsid w:val="005C569C"/>
    <w:rsid w:val="005C5866"/>
    <w:rsid w:val="005C58EB"/>
    <w:rsid w:val="005C652C"/>
    <w:rsid w:val="005C7C44"/>
    <w:rsid w:val="005D1BF7"/>
    <w:rsid w:val="005D3779"/>
    <w:rsid w:val="005D4233"/>
    <w:rsid w:val="005D480E"/>
    <w:rsid w:val="005D5403"/>
    <w:rsid w:val="005D576A"/>
    <w:rsid w:val="005D5ABF"/>
    <w:rsid w:val="005D5B42"/>
    <w:rsid w:val="005D5FDF"/>
    <w:rsid w:val="005D6D34"/>
    <w:rsid w:val="005D7422"/>
    <w:rsid w:val="005D7590"/>
    <w:rsid w:val="005D7FBD"/>
    <w:rsid w:val="005E03EC"/>
    <w:rsid w:val="005E0959"/>
    <w:rsid w:val="005E1185"/>
    <w:rsid w:val="005E1A96"/>
    <w:rsid w:val="005E1B77"/>
    <w:rsid w:val="005E1D95"/>
    <w:rsid w:val="005E1E23"/>
    <w:rsid w:val="005E36E6"/>
    <w:rsid w:val="005E3E17"/>
    <w:rsid w:val="005E7519"/>
    <w:rsid w:val="005E7769"/>
    <w:rsid w:val="005F0B7C"/>
    <w:rsid w:val="005F10AA"/>
    <w:rsid w:val="005F11D5"/>
    <w:rsid w:val="005F15AF"/>
    <w:rsid w:val="005F22F7"/>
    <w:rsid w:val="005F27BA"/>
    <w:rsid w:val="005F402F"/>
    <w:rsid w:val="005F432D"/>
    <w:rsid w:val="005F7BBC"/>
    <w:rsid w:val="00600514"/>
    <w:rsid w:val="006015C0"/>
    <w:rsid w:val="00601B62"/>
    <w:rsid w:val="00601E36"/>
    <w:rsid w:val="00602314"/>
    <w:rsid w:val="00605BDD"/>
    <w:rsid w:val="006071A4"/>
    <w:rsid w:val="006073F4"/>
    <w:rsid w:val="00607553"/>
    <w:rsid w:val="00607AEF"/>
    <w:rsid w:val="006102B7"/>
    <w:rsid w:val="00610D57"/>
    <w:rsid w:val="006116B4"/>
    <w:rsid w:val="00611CCB"/>
    <w:rsid w:val="0061216A"/>
    <w:rsid w:val="006124C7"/>
    <w:rsid w:val="00613642"/>
    <w:rsid w:val="006137CD"/>
    <w:rsid w:val="00614818"/>
    <w:rsid w:val="00614B40"/>
    <w:rsid w:val="00615245"/>
    <w:rsid w:val="0061534B"/>
    <w:rsid w:val="00615395"/>
    <w:rsid w:val="00615E7A"/>
    <w:rsid w:val="0061695D"/>
    <w:rsid w:val="00621B92"/>
    <w:rsid w:val="00621E91"/>
    <w:rsid w:val="00622047"/>
    <w:rsid w:val="006221BF"/>
    <w:rsid w:val="00624CAA"/>
    <w:rsid w:val="006309FC"/>
    <w:rsid w:val="00632D37"/>
    <w:rsid w:val="00633777"/>
    <w:rsid w:val="00634953"/>
    <w:rsid w:val="00636AC3"/>
    <w:rsid w:val="00637613"/>
    <w:rsid w:val="006404B5"/>
    <w:rsid w:val="00640DDD"/>
    <w:rsid w:val="00641D70"/>
    <w:rsid w:val="006422F4"/>
    <w:rsid w:val="00642639"/>
    <w:rsid w:val="0064377E"/>
    <w:rsid w:val="00643BFB"/>
    <w:rsid w:val="006444B1"/>
    <w:rsid w:val="0064513A"/>
    <w:rsid w:val="00645625"/>
    <w:rsid w:val="0064653F"/>
    <w:rsid w:val="00646AD6"/>
    <w:rsid w:val="00646D43"/>
    <w:rsid w:val="00650231"/>
    <w:rsid w:val="006505C9"/>
    <w:rsid w:val="0065098F"/>
    <w:rsid w:val="00651A9D"/>
    <w:rsid w:val="0065295A"/>
    <w:rsid w:val="00652F5C"/>
    <w:rsid w:val="00653CFE"/>
    <w:rsid w:val="006548FC"/>
    <w:rsid w:val="0065601A"/>
    <w:rsid w:val="00657170"/>
    <w:rsid w:val="006573DC"/>
    <w:rsid w:val="00657A39"/>
    <w:rsid w:val="0066272F"/>
    <w:rsid w:val="00662CE9"/>
    <w:rsid w:val="00665292"/>
    <w:rsid w:val="006661B9"/>
    <w:rsid w:val="006703F6"/>
    <w:rsid w:val="00670D6A"/>
    <w:rsid w:val="00671254"/>
    <w:rsid w:val="006718A1"/>
    <w:rsid w:val="00671BB7"/>
    <w:rsid w:val="00673165"/>
    <w:rsid w:val="006731BF"/>
    <w:rsid w:val="00675CC5"/>
    <w:rsid w:val="00677530"/>
    <w:rsid w:val="00677E50"/>
    <w:rsid w:val="0068127C"/>
    <w:rsid w:val="00681866"/>
    <w:rsid w:val="00686DAE"/>
    <w:rsid w:val="006952A9"/>
    <w:rsid w:val="0069680E"/>
    <w:rsid w:val="00697C8A"/>
    <w:rsid w:val="006A002D"/>
    <w:rsid w:val="006A0B72"/>
    <w:rsid w:val="006A0CB9"/>
    <w:rsid w:val="006A18F6"/>
    <w:rsid w:val="006A370C"/>
    <w:rsid w:val="006A4010"/>
    <w:rsid w:val="006A4213"/>
    <w:rsid w:val="006A5A57"/>
    <w:rsid w:val="006A6527"/>
    <w:rsid w:val="006A6B22"/>
    <w:rsid w:val="006A7584"/>
    <w:rsid w:val="006A7E0C"/>
    <w:rsid w:val="006B1C51"/>
    <w:rsid w:val="006B216C"/>
    <w:rsid w:val="006B21D6"/>
    <w:rsid w:val="006B2340"/>
    <w:rsid w:val="006B3CCD"/>
    <w:rsid w:val="006B3ED2"/>
    <w:rsid w:val="006B4F9F"/>
    <w:rsid w:val="006B5A6E"/>
    <w:rsid w:val="006B64D8"/>
    <w:rsid w:val="006B66E4"/>
    <w:rsid w:val="006B686C"/>
    <w:rsid w:val="006C1582"/>
    <w:rsid w:val="006C2064"/>
    <w:rsid w:val="006C23C9"/>
    <w:rsid w:val="006C2C89"/>
    <w:rsid w:val="006C49A9"/>
    <w:rsid w:val="006C4D13"/>
    <w:rsid w:val="006C53C4"/>
    <w:rsid w:val="006D2F06"/>
    <w:rsid w:val="006D2F16"/>
    <w:rsid w:val="006D3CB0"/>
    <w:rsid w:val="006D3F7E"/>
    <w:rsid w:val="006D43F9"/>
    <w:rsid w:val="006D4706"/>
    <w:rsid w:val="006D6790"/>
    <w:rsid w:val="006D697A"/>
    <w:rsid w:val="006D6E29"/>
    <w:rsid w:val="006E13A7"/>
    <w:rsid w:val="006E1C91"/>
    <w:rsid w:val="006E256C"/>
    <w:rsid w:val="006E35F6"/>
    <w:rsid w:val="006E4ED6"/>
    <w:rsid w:val="006E60C8"/>
    <w:rsid w:val="006E625F"/>
    <w:rsid w:val="006E6BB7"/>
    <w:rsid w:val="006E6FA0"/>
    <w:rsid w:val="006F0451"/>
    <w:rsid w:val="006F23C6"/>
    <w:rsid w:val="006F2A4E"/>
    <w:rsid w:val="006F363E"/>
    <w:rsid w:val="006F3886"/>
    <w:rsid w:val="006F38D4"/>
    <w:rsid w:val="006F53C9"/>
    <w:rsid w:val="006F6208"/>
    <w:rsid w:val="006F7005"/>
    <w:rsid w:val="006F7960"/>
    <w:rsid w:val="00700511"/>
    <w:rsid w:val="00701BC6"/>
    <w:rsid w:val="0070331D"/>
    <w:rsid w:val="00703716"/>
    <w:rsid w:val="00704634"/>
    <w:rsid w:val="0070566E"/>
    <w:rsid w:val="00705B80"/>
    <w:rsid w:val="00706178"/>
    <w:rsid w:val="0070738F"/>
    <w:rsid w:val="0071065B"/>
    <w:rsid w:val="00711155"/>
    <w:rsid w:val="00714102"/>
    <w:rsid w:val="007146E7"/>
    <w:rsid w:val="00716114"/>
    <w:rsid w:val="00716CF0"/>
    <w:rsid w:val="00716F11"/>
    <w:rsid w:val="007177EC"/>
    <w:rsid w:val="007178A0"/>
    <w:rsid w:val="00717BC8"/>
    <w:rsid w:val="00717ECC"/>
    <w:rsid w:val="0072075C"/>
    <w:rsid w:val="00720EEB"/>
    <w:rsid w:val="00723D8B"/>
    <w:rsid w:val="007244B0"/>
    <w:rsid w:val="0072618D"/>
    <w:rsid w:val="0072700D"/>
    <w:rsid w:val="0072744D"/>
    <w:rsid w:val="00731BBF"/>
    <w:rsid w:val="00731C1B"/>
    <w:rsid w:val="0073227E"/>
    <w:rsid w:val="0073246D"/>
    <w:rsid w:val="00732C68"/>
    <w:rsid w:val="00733FDF"/>
    <w:rsid w:val="007361A7"/>
    <w:rsid w:val="00741A34"/>
    <w:rsid w:val="0074224F"/>
    <w:rsid w:val="00742AE9"/>
    <w:rsid w:val="0074671D"/>
    <w:rsid w:val="00747160"/>
    <w:rsid w:val="0075055A"/>
    <w:rsid w:val="00750C5E"/>
    <w:rsid w:val="00751527"/>
    <w:rsid w:val="00751AB8"/>
    <w:rsid w:val="00752A28"/>
    <w:rsid w:val="00752B9C"/>
    <w:rsid w:val="00752C4D"/>
    <w:rsid w:val="00753DA2"/>
    <w:rsid w:val="00754DF5"/>
    <w:rsid w:val="00755A24"/>
    <w:rsid w:val="00760B5D"/>
    <w:rsid w:val="00761910"/>
    <w:rsid w:val="007671EA"/>
    <w:rsid w:val="00767778"/>
    <w:rsid w:val="007702DC"/>
    <w:rsid w:val="007708DF"/>
    <w:rsid w:val="00771178"/>
    <w:rsid w:val="0077187D"/>
    <w:rsid w:val="00771DE8"/>
    <w:rsid w:val="00772576"/>
    <w:rsid w:val="00772CF4"/>
    <w:rsid w:val="007731D2"/>
    <w:rsid w:val="00773F55"/>
    <w:rsid w:val="00774060"/>
    <w:rsid w:val="007758EE"/>
    <w:rsid w:val="00781597"/>
    <w:rsid w:val="00781620"/>
    <w:rsid w:val="00781B5A"/>
    <w:rsid w:val="00781F96"/>
    <w:rsid w:val="00782204"/>
    <w:rsid w:val="00783002"/>
    <w:rsid w:val="00783D0E"/>
    <w:rsid w:val="007849F1"/>
    <w:rsid w:val="00785AA1"/>
    <w:rsid w:val="007879D4"/>
    <w:rsid w:val="0079080A"/>
    <w:rsid w:val="0079271D"/>
    <w:rsid w:val="00792C0B"/>
    <w:rsid w:val="00794981"/>
    <w:rsid w:val="00795DBA"/>
    <w:rsid w:val="007973AB"/>
    <w:rsid w:val="00797C6E"/>
    <w:rsid w:val="00797F58"/>
    <w:rsid w:val="007A4F06"/>
    <w:rsid w:val="007A5410"/>
    <w:rsid w:val="007A63CC"/>
    <w:rsid w:val="007A7296"/>
    <w:rsid w:val="007A75FE"/>
    <w:rsid w:val="007B1DBA"/>
    <w:rsid w:val="007B2789"/>
    <w:rsid w:val="007B2B89"/>
    <w:rsid w:val="007B3F3A"/>
    <w:rsid w:val="007B4CEE"/>
    <w:rsid w:val="007B572B"/>
    <w:rsid w:val="007B5F56"/>
    <w:rsid w:val="007B7095"/>
    <w:rsid w:val="007B76E1"/>
    <w:rsid w:val="007B780F"/>
    <w:rsid w:val="007C0463"/>
    <w:rsid w:val="007C0CDB"/>
    <w:rsid w:val="007C2312"/>
    <w:rsid w:val="007C28E9"/>
    <w:rsid w:val="007C4D83"/>
    <w:rsid w:val="007C648F"/>
    <w:rsid w:val="007C6D27"/>
    <w:rsid w:val="007C7FF0"/>
    <w:rsid w:val="007D0839"/>
    <w:rsid w:val="007D0F3F"/>
    <w:rsid w:val="007D1FB4"/>
    <w:rsid w:val="007D2DFC"/>
    <w:rsid w:val="007D2E7F"/>
    <w:rsid w:val="007D342A"/>
    <w:rsid w:val="007D3D44"/>
    <w:rsid w:val="007D79CB"/>
    <w:rsid w:val="007E0949"/>
    <w:rsid w:val="007E1179"/>
    <w:rsid w:val="007E1218"/>
    <w:rsid w:val="007E226B"/>
    <w:rsid w:val="007E39EC"/>
    <w:rsid w:val="007E3A76"/>
    <w:rsid w:val="007E4135"/>
    <w:rsid w:val="007E61F2"/>
    <w:rsid w:val="007E641A"/>
    <w:rsid w:val="007F0668"/>
    <w:rsid w:val="007F0F73"/>
    <w:rsid w:val="007F1060"/>
    <w:rsid w:val="007F13CB"/>
    <w:rsid w:val="007F18A2"/>
    <w:rsid w:val="007F2C25"/>
    <w:rsid w:val="007F42C5"/>
    <w:rsid w:val="007F4A25"/>
    <w:rsid w:val="007F51D5"/>
    <w:rsid w:val="0080158A"/>
    <w:rsid w:val="008035D2"/>
    <w:rsid w:val="008042DB"/>
    <w:rsid w:val="00804CA7"/>
    <w:rsid w:val="00805A87"/>
    <w:rsid w:val="00806480"/>
    <w:rsid w:val="00807615"/>
    <w:rsid w:val="00811D63"/>
    <w:rsid w:val="00812725"/>
    <w:rsid w:val="008138D1"/>
    <w:rsid w:val="00813D34"/>
    <w:rsid w:val="00814067"/>
    <w:rsid w:val="00815B2F"/>
    <w:rsid w:val="0081601A"/>
    <w:rsid w:val="0081664F"/>
    <w:rsid w:val="00816810"/>
    <w:rsid w:val="00817471"/>
    <w:rsid w:val="00821FF7"/>
    <w:rsid w:val="00822909"/>
    <w:rsid w:val="00822C58"/>
    <w:rsid w:val="0082368A"/>
    <w:rsid w:val="008236A3"/>
    <w:rsid w:val="008239B9"/>
    <w:rsid w:val="00824627"/>
    <w:rsid w:val="008255C9"/>
    <w:rsid w:val="008257A2"/>
    <w:rsid w:val="0082596C"/>
    <w:rsid w:val="00825BC1"/>
    <w:rsid w:val="00827927"/>
    <w:rsid w:val="00832B94"/>
    <w:rsid w:val="00832F4C"/>
    <w:rsid w:val="00832FBC"/>
    <w:rsid w:val="00834E82"/>
    <w:rsid w:val="00836316"/>
    <w:rsid w:val="008402F2"/>
    <w:rsid w:val="00840EBD"/>
    <w:rsid w:val="008417E0"/>
    <w:rsid w:val="00841D39"/>
    <w:rsid w:val="0084231B"/>
    <w:rsid w:val="0084280F"/>
    <w:rsid w:val="008428BD"/>
    <w:rsid w:val="0084477A"/>
    <w:rsid w:val="00844F91"/>
    <w:rsid w:val="00845273"/>
    <w:rsid w:val="0084592A"/>
    <w:rsid w:val="00846E3E"/>
    <w:rsid w:val="00847B13"/>
    <w:rsid w:val="00847CC9"/>
    <w:rsid w:val="00847CE8"/>
    <w:rsid w:val="00850417"/>
    <w:rsid w:val="00850FDB"/>
    <w:rsid w:val="00851078"/>
    <w:rsid w:val="008517C1"/>
    <w:rsid w:val="0085499B"/>
    <w:rsid w:val="00855296"/>
    <w:rsid w:val="00855E46"/>
    <w:rsid w:val="00855FAC"/>
    <w:rsid w:val="00856CC8"/>
    <w:rsid w:val="00861385"/>
    <w:rsid w:val="00862705"/>
    <w:rsid w:val="008628C6"/>
    <w:rsid w:val="00863181"/>
    <w:rsid w:val="008637A9"/>
    <w:rsid w:val="0086386F"/>
    <w:rsid w:val="00863A26"/>
    <w:rsid w:val="00864675"/>
    <w:rsid w:val="00864BE5"/>
    <w:rsid w:val="00864DB0"/>
    <w:rsid w:val="008653E6"/>
    <w:rsid w:val="0086553B"/>
    <w:rsid w:val="0086629A"/>
    <w:rsid w:val="0086689C"/>
    <w:rsid w:val="00866DE9"/>
    <w:rsid w:val="008730AC"/>
    <w:rsid w:val="008733AD"/>
    <w:rsid w:val="0087645E"/>
    <w:rsid w:val="00877FB0"/>
    <w:rsid w:val="00882F09"/>
    <w:rsid w:val="008835C1"/>
    <w:rsid w:val="008838C2"/>
    <w:rsid w:val="008865BD"/>
    <w:rsid w:val="00887508"/>
    <w:rsid w:val="00887872"/>
    <w:rsid w:val="0088798E"/>
    <w:rsid w:val="008879ED"/>
    <w:rsid w:val="00887D38"/>
    <w:rsid w:val="0089014D"/>
    <w:rsid w:val="008908FB"/>
    <w:rsid w:val="00890EB2"/>
    <w:rsid w:val="00892316"/>
    <w:rsid w:val="008958FD"/>
    <w:rsid w:val="008978A8"/>
    <w:rsid w:val="008A02D7"/>
    <w:rsid w:val="008A068B"/>
    <w:rsid w:val="008A0CD6"/>
    <w:rsid w:val="008A0EC5"/>
    <w:rsid w:val="008A174E"/>
    <w:rsid w:val="008A264A"/>
    <w:rsid w:val="008A2715"/>
    <w:rsid w:val="008A4791"/>
    <w:rsid w:val="008A55ED"/>
    <w:rsid w:val="008A6228"/>
    <w:rsid w:val="008A6A8E"/>
    <w:rsid w:val="008A7526"/>
    <w:rsid w:val="008A7A7F"/>
    <w:rsid w:val="008B0787"/>
    <w:rsid w:val="008B11DB"/>
    <w:rsid w:val="008B1633"/>
    <w:rsid w:val="008B1E61"/>
    <w:rsid w:val="008B254B"/>
    <w:rsid w:val="008B2972"/>
    <w:rsid w:val="008B3450"/>
    <w:rsid w:val="008B4B1B"/>
    <w:rsid w:val="008B4D3A"/>
    <w:rsid w:val="008B6362"/>
    <w:rsid w:val="008B6A2F"/>
    <w:rsid w:val="008B7096"/>
    <w:rsid w:val="008B70C9"/>
    <w:rsid w:val="008B7991"/>
    <w:rsid w:val="008B7E4E"/>
    <w:rsid w:val="008C1667"/>
    <w:rsid w:val="008C1930"/>
    <w:rsid w:val="008C1C34"/>
    <w:rsid w:val="008C31B7"/>
    <w:rsid w:val="008C3492"/>
    <w:rsid w:val="008C5E7D"/>
    <w:rsid w:val="008C6785"/>
    <w:rsid w:val="008D0016"/>
    <w:rsid w:val="008D07E4"/>
    <w:rsid w:val="008D0ADE"/>
    <w:rsid w:val="008D0B44"/>
    <w:rsid w:val="008D0FAF"/>
    <w:rsid w:val="008D1325"/>
    <w:rsid w:val="008D26E2"/>
    <w:rsid w:val="008D2CAA"/>
    <w:rsid w:val="008D47D8"/>
    <w:rsid w:val="008D4C73"/>
    <w:rsid w:val="008D4DAB"/>
    <w:rsid w:val="008D4EE1"/>
    <w:rsid w:val="008D4F8E"/>
    <w:rsid w:val="008D505E"/>
    <w:rsid w:val="008D71CB"/>
    <w:rsid w:val="008D7772"/>
    <w:rsid w:val="008E2560"/>
    <w:rsid w:val="008E3369"/>
    <w:rsid w:val="008E4B12"/>
    <w:rsid w:val="008E79C8"/>
    <w:rsid w:val="008F10A3"/>
    <w:rsid w:val="008F1395"/>
    <w:rsid w:val="008F1B46"/>
    <w:rsid w:val="008F1FAD"/>
    <w:rsid w:val="008F2521"/>
    <w:rsid w:val="008F2F7B"/>
    <w:rsid w:val="008F3237"/>
    <w:rsid w:val="008F3BC9"/>
    <w:rsid w:val="008F508E"/>
    <w:rsid w:val="00900501"/>
    <w:rsid w:val="00902C2B"/>
    <w:rsid w:val="00902E64"/>
    <w:rsid w:val="009031AE"/>
    <w:rsid w:val="009039DB"/>
    <w:rsid w:val="00903BB8"/>
    <w:rsid w:val="009043A7"/>
    <w:rsid w:val="009054B9"/>
    <w:rsid w:val="00905C86"/>
    <w:rsid w:val="00905F1D"/>
    <w:rsid w:val="009067F5"/>
    <w:rsid w:val="009068E6"/>
    <w:rsid w:val="009077C8"/>
    <w:rsid w:val="009129B3"/>
    <w:rsid w:val="00912E10"/>
    <w:rsid w:val="009131A6"/>
    <w:rsid w:val="009135FA"/>
    <w:rsid w:val="00920B20"/>
    <w:rsid w:val="00921601"/>
    <w:rsid w:val="00924696"/>
    <w:rsid w:val="009275A7"/>
    <w:rsid w:val="00927C1D"/>
    <w:rsid w:val="0093007F"/>
    <w:rsid w:val="00931BF5"/>
    <w:rsid w:val="00931D78"/>
    <w:rsid w:val="009333B4"/>
    <w:rsid w:val="00933C60"/>
    <w:rsid w:val="009340CE"/>
    <w:rsid w:val="00940A90"/>
    <w:rsid w:val="00941582"/>
    <w:rsid w:val="0094176C"/>
    <w:rsid w:val="00942A0B"/>
    <w:rsid w:val="009466E3"/>
    <w:rsid w:val="00946C6F"/>
    <w:rsid w:val="0094718D"/>
    <w:rsid w:val="00950872"/>
    <w:rsid w:val="009522E7"/>
    <w:rsid w:val="00953968"/>
    <w:rsid w:val="00955059"/>
    <w:rsid w:val="00955D29"/>
    <w:rsid w:val="009577B1"/>
    <w:rsid w:val="009600D1"/>
    <w:rsid w:val="0096020A"/>
    <w:rsid w:val="00960960"/>
    <w:rsid w:val="009618A3"/>
    <w:rsid w:val="009651F8"/>
    <w:rsid w:val="00966422"/>
    <w:rsid w:val="0097035B"/>
    <w:rsid w:val="009720C6"/>
    <w:rsid w:val="00973114"/>
    <w:rsid w:val="009734CB"/>
    <w:rsid w:val="00973681"/>
    <w:rsid w:val="00973A4C"/>
    <w:rsid w:val="009754AB"/>
    <w:rsid w:val="00975C0F"/>
    <w:rsid w:val="00975CB1"/>
    <w:rsid w:val="00976478"/>
    <w:rsid w:val="00977E6F"/>
    <w:rsid w:val="009800A2"/>
    <w:rsid w:val="009803BB"/>
    <w:rsid w:val="00980FBA"/>
    <w:rsid w:val="00980FFD"/>
    <w:rsid w:val="009810FF"/>
    <w:rsid w:val="009823AD"/>
    <w:rsid w:val="00983AE2"/>
    <w:rsid w:val="009875B7"/>
    <w:rsid w:val="00990193"/>
    <w:rsid w:val="00991E03"/>
    <w:rsid w:val="0099249F"/>
    <w:rsid w:val="00992BA5"/>
    <w:rsid w:val="00992CA3"/>
    <w:rsid w:val="00993CD6"/>
    <w:rsid w:val="00994364"/>
    <w:rsid w:val="00994BB9"/>
    <w:rsid w:val="0099539F"/>
    <w:rsid w:val="0099546A"/>
    <w:rsid w:val="009976AC"/>
    <w:rsid w:val="00997B2F"/>
    <w:rsid w:val="009A0198"/>
    <w:rsid w:val="009A0966"/>
    <w:rsid w:val="009A1C76"/>
    <w:rsid w:val="009A1E68"/>
    <w:rsid w:val="009A46D0"/>
    <w:rsid w:val="009A4C24"/>
    <w:rsid w:val="009A5CBA"/>
    <w:rsid w:val="009B13A2"/>
    <w:rsid w:val="009B2FFA"/>
    <w:rsid w:val="009B7111"/>
    <w:rsid w:val="009C2083"/>
    <w:rsid w:val="009C217C"/>
    <w:rsid w:val="009C25C4"/>
    <w:rsid w:val="009C5470"/>
    <w:rsid w:val="009C660C"/>
    <w:rsid w:val="009C6919"/>
    <w:rsid w:val="009C725B"/>
    <w:rsid w:val="009C7969"/>
    <w:rsid w:val="009D0E0F"/>
    <w:rsid w:val="009D1A93"/>
    <w:rsid w:val="009D2D81"/>
    <w:rsid w:val="009D382A"/>
    <w:rsid w:val="009D38CB"/>
    <w:rsid w:val="009D4A11"/>
    <w:rsid w:val="009D4C0A"/>
    <w:rsid w:val="009D62D9"/>
    <w:rsid w:val="009D78F9"/>
    <w:rsid w:val="009E0350"/>
    <w:rsid w:val="009E07F7"/>
    <w:rsid w:val="009E1C32"/>
    <w:rsid w:val="009E2C3C"/>
    <w:rsid w:val="009E374F"/>
    <w:rsid w:val="009E4311"/>
    <w:rsid w:val="009E4A49"/>
    <w:rsid w:val="009E4D77"/>
    <w:rsid w:val="009E745B"/>
    <w:rsid w:val="009F0509"/>
    <w:rsid w:val="009F1A95"/>
    <w:rsid w:val="009F20C6"/>
    <w:rsid w:val="009F34A2"/>
    <w:rsid w:val="009F3AB5"/>
    <w:rsid w:val="009F423A"/>
    <w:rsid w:val="009F4BB2"/>
    <w:rsid w:val="009F7853"/>
    <w:rsid w:val="00A01250"/>
    <w:rsid w:val="00A01EBA"/>
    <w:rsid w:val="00A02707"/>
    <w:rsid w:val="00A02FD0"/>
    <w:rsid w:val="00A0343E"/>
    <w:rsid w:val="00A0420A"/>
    <w:rsid w:val="00A05116"/>
    <w:rsid w:val="00A066AF"/>
    <w:rsid w:val="00A06A42"/>
    <w:rsid w:val="00A073FF"/>
    <w:rsid w:val="00A10347"/>
    <w:rsid w:val="00A10797"/>
    <w:rsid w:val="00A124BD"/>
    <w:rsid w:val="00A1387E"/>
    <w:rsid w:val="00A145F5"/>
    <w:rsid w:val="00A14C3C"/>
    <w:rsid w:val="00A14F63"/>
    <w:rsid w:val="00A17D95"/>
    <w:rsid w:val="00A20598"/>
    <w:rsid w:val="00A20A19"/>
    <w:rsid w:val="00A23B15"/>
    <w:rsid w:val="00A24676"/>
    <w:rsid w:val="00A30BB5"/>
    <w:rsid w:val="00A3157B"/>
    <w:rsid w:val="00A32D4A"/>
    <w:rsid w:val="00A34016"/>
    <w:rsid w:val="00A34273"/>
    <w:rsid w:val="00A3431B"/>
    <w:rsid w:val="00A352AD"/>
    <w:rsid w:val="00A35645"/>
    <w:rsid w:val="00A359DD"/>
    <w:rsid w:val="00A35C05"/>
    <w:rsid w:val="00A36DD0"/>
    <w:rsid w:val="00A3704B"/>
    <w:rsid w:val="00A3790F"/>
    <w:rsid w:val="00A40063"/>
    <w:rsid w:val="00A4176A"/>
    <w:rsid w:val="00A41EB5"/>
    <w:rsid w:val="00A422CC"/>
    <w:rsid w:val="00A423B4"/>
    <w:rsid w:val="00A42B7C"/>
    <w:rsid w:val="00A42BD8"/>
    <w:rsid w:val="00A437D8"/>
    <w:rsid w:val="00A43E70"/>
    <w:rsid w:val="00A442A2"/>
    <w:rsid w:val="00A45286"/>
    <w:rsid w:val="00A456B3"/>
    <w:rsid w:val="00A512AC"/>
    <w:rsid w:val="00A516CF"/>
    <w:rsid w:val="00A53C9D"/>
    <w:rsid w:val="00A53F23"/>
    <w:rsid w:val="00A56007"/>
    <w:rsid w:val="00A5673D"/>
    <w:rsid w:val="00A570BD"/>
    <w:rsid w:val="00A57321"/>
    <w:rsid w:val="00A57D74"/>
    <w:rsid w:val="00A6099F"/>
    <w:rsid w:val="00A619B2"/>
    <w:rsid w:val="00A61C8A"/>
    <w:rsid w:val="00A6455D"/>
    <w:rsid w:val="00A678EA"/>
    <w:rsid w:val="00A70B0C"/>
    <w:rsid w:val="00A72E0B"/>
    <w:rsid w:val="00A73506"/>
    <w:rsid w:val="00A737B4"/>
    <w:rsid w:val="00A745E3"/>
    <w:rsid w:val="00A75671"/>
    <w:rsid w:val="00A75C22"/>
    <w:rsid w:val="00A76B8C"/>
    <w:rsid w:val="00A80B25"/>
    <w:rsid w:val="00A81F98"/>
    <w:rsid w:val="00A82C6D"/>
    <w:rsid w:val="00A85C54"/>
    <w:rsid w:val="00A85D4E"/>
    <w:rsid w:val="00A85EA9"/>
    <w:rsid w:val="00A866E8"/>
    <w:rsid w:val="00A86F2A"/>
    <w:rsid w:val="00A92226"/>
    <w:rsid w:val="00A922C6"/>
    <w:rsid w:val="00A92747"/>
    <w:rsid w:val="00A92DA1"/>
    <w:rsid w:val="00A94B09"/>
    <w:rsid w:val="00A94EC9"/>
    <w:rsid w:val="00A954E7"/>
    <w:rsid w:val="00A9688A"/>
    <w:rsid w:val="00A96CE6"/>
    <w:rsid w:val="00A97094"/>
    <w:rsid w:val="00A97AB0"/>
    <w:rsid w:val="00A97F9D"/>
    <w:rsid w:val="00AA0D98"/>
    <w:rsid w:val="00AA1D8D"/>
    <w:rsid w:val="00AA20DC"/>
    <w:rsid w:val="00AA2234"/>
    <w:rsid w:val="00AA292C"/>
    <w:rsid w:val="00AA2A06"/>
    <w:rsid w:val="00AA41B0"/>
    <w:rsid w:val="00AA448F"/>
    <w:rsid w:val="00AA55A6"/>
    <w:rsid w:val="00AA63F8"/>
    <w:rsid w:val="00AB3221"/>
    <w:rsid w:val="00AB488C"/>
    <w:rsid w:val="00AB49D4"/>
    <w:rsid w:val="00AB53ED"/>
    <w:rsid w:val="00AB5E95"/>
    <w:rsid w:val="00AB62F9"/>
    <w:rsid w:val="00AB7571"/>
    <w:rsid w:val="00AC23F9"/>
    <w:rsid w:val="00AC350F"/>
    <w:rsid w:val="00AC4E31"/>
    <w:rsid w:val="00AC6145"/>
    <w:rsid w:val="00AC7E7A"/>
    <w:rsid w:val="00AD01A7"/>
    <w:rsid w:val="00AD066C"/>
    <w:rsid w:val="00AD0EB3"/>
    <w:rsid w:val="00AD27C7"/>
    <w:rsid w:val="00AD4659"/>
    <w:rsid w:val="00AD5EEE"/>
    <w:rsid w:val="00AD679E"/>
    <w:rsid w:val="00AD6A59"/>
    <w:rsid w:val="00AD7921"/>
    <w:rsid w:val="00AD7B0E"/>
    <w:rsid w:val="00AD7D40"/>
    <w:rsid w:val="00AE4C66"/>
    <w:rsid w:val="00AE5831"/>
    <w:rsid w:val="00AE5F54"/>
    <w:rsid w:val="00AE70CF"/>
    <w:rsid w:val="00AE779D"/>
    <w:rsid w:val="00AE793A"/>
    <w:rsid w:val="00AF05E8"/>
    <w:rsid w:val="00AF0980"/>
    <w:rsid w:val="00AF180E"/>
    <w:rsid w:val="00AF2323"/>
    <w:rsid w:val="00AF499E"/>
    <w:rsid w:val="00AF764D"/>
    <w:rsid w:val="00B0035B"/>
    <w:rsid w:val="00B00C39"/>
    <w:rsid w:val="00B025E7"/>
    <w:rsid w:val="00B02D07"/>
    <w:rsid w:val="00B0585E"/>
    <w:rsid w:val="00B059B8"/>
    <w:rsid w:val="00B101F7"/>
    <w:rsid w:val="00B1285B"/>
    <w:rsid w:val="00B1663B"/>
    <w:rsid w:val="00B20C07"/>
    <w:rsid w:val="00B212DF"/>
    <w:rsid w:val="00B224D3"/>
    <w:rsid w:val="00B22F64"/>
    <w:rsid w:val="00B24911"/>
    <w:rsid w:val="00B263C6"/>
    <w:rsid w:val="00B26CED"/>
    <w:rsid w:val="00B27545"/>
    <w:rsid w:val="00B27A9F"/>
    <w:rsid w:val="00B308C2"/>
    <w:rsid w:val="00B32830"/>
    <w:rsid w:val="00B33E8C"/>
    <w:rsid w:val="00B347EF"/>
    <w:rsid w:val="00B3625B"/>
    <w:rsid w:val="00B36511"/>
    <w:rsid w:val="00B36C35"/>
    <w:rsid w:val="00B43D48"/>
    <w:rsid w:val="00B457F8"/>
    <w:rsid w:val="00B45904"/>
    <w:rsid w:val="00B47133"/>
    <w:rsid w:val="00B4752C"/>
    <w:rsid w:val="00B47730"/>
    <w:rsid w:val="00B47A85"/>
    <w:rsid w:val="00B51C19"/>
    <w:rsid w:val="00B5369D"/>
    <w:rsid w:val="00B54544"/>
    <w:rsid w:val="00B60B97"/>
    <w:rsid w:val="00B6106F"/>
    <w:rsid w:val="00B61AD6"/>
    <w:rsid w:val="00B61ED8"/>
    <w:rsid w:val="00B6312C"/>
    <w:rsid w:val="00B638F1"/>
    <w:rsid w:val="00B64909"/>
    <w:rsid w:val="00B6620C"/>
    <w:rsid w:val="00B662D1"/>
    <w:rsid w:val="00B66C79"/>
    <w:rsid w:val="00B70738"/>
    <w:rsid w:val="00B70A33"/>
    <w:rsid w:val="00B72605"/>
    <w:rsid w:val="00B72D7F"/>
    <w:rsid w:val="00B73E28"/>
    <w:rsid w:val="00B80114"/>
    <w:rsid w:val="00B8011D"/>
    <w:rsid w:val="00B80938"/>
    <w:rsid w:val="00B817E9"/>
    <w:rsid w:val="00B81865"/>
    <w:rsid w:val="00B8393D"/>
    <w:rsid w:val="00B85528"/>
    <w:rsid w:val="00B857F7"/>
    <w:rsid w:val="00B85959"/>
    <w:rsid w:val="00B85F8F"/>
    <w:rsid w:val="00B8783A"/>
    <w:rsid w:val="00B90337"/>
    <w:rsid w:val="00B9107F"/>
    <w:rsid w:val="00B91861"/>
    <w:rsid w:val="00B92495"/>
    <w:rsid w:val="00B937F9"/>
    <w:rsid w:val="00B93802"/>
    <w:rsid w:val="00B96453"/>
    <w:rsid w:val="00BA192A"/>
    <w:rsid w:val="00BA3DC4"/>
    <w:rsid w:val="00BA4D87"/>
    <w:rsid w:val="00BA6640"/>
    <w:rsid w:val="00BA7A14"/>
    <w:rsid w:val="00BB1AFD"/>
    <w:rsid w:val="00BB22BC"/>
    <w:rsid w:val="00BB2D26"/>
    <w:rsid w:val="00BB30FA"/>
    <w:rsid w:val="00BB3208"/>
    <w:rsid w:val="00BB326D"/>
    <w:rsid w:val="00BB566B"/>
    <w:rsid w:val="00BB5685"/>
    <w:rsid w:val="00BB6560"/>
    <w:rsid w:val="00BB725D"/>
    <w:rsid w:val="00BB7ED8"/>
    <w:rsid w:val="00BC0306"/>
    <w:rsid w:val="00BC1C2D"/>
    <w:rsid w:val="00BC3C35"/>
    <w:rsid w:val="00BC421E"/>
    <w:rsid w:val="00BC4A5F"/>
    <w:rsid w:val="00BC7557"/>
    <w:rsid w:val="00BC76DF"/>
    <w:rsid w:val="00BD48F3"/>
    <w:rsid w:val="00BD4916"/>
    <w:rsid w:val="00BD5F20"/>
    <w:rsid w:val="00BD64AF"/>
    <w:rsid w:val="00BD6A49"/>
    <w:rsid w:val="00BE2025"/>
    <w:rsid w:val="00BE2C78"/>
    <w:rsid w:val="00BE362A"/>
    <w:rsid w:val="00BE3D7B"/>
    <w:rsid w:val="00BE3E73"/>
    <w:rsid w:val="00BE454B"/>
    <w:rsid w:val="00BE488E"/>
    <w:rsid w:val="00BE5AFD"/>
    <w:rsid w:val="00BE5B1E"/>
    <w:rsid w:val="00BE6062"/>
    <w:rsid w:val="00BE616F"/>
    <w:rsid w:val="00BE6576"/>
    <w:rsid w:val="00BE6A4F"/>
    <w:rsid w:val="00BF181D"/>
    <w:rsid w:val="00BF1B35"/>
    <w:rsid w:val="00BF2776"/>
    <w:rsid w:val="00BF2EA0"/>
    <w:rsid w:val="00BF79C4"/>
    <w:rsid w:val="00C00C17"/>
    <w:rsid w:val="00C01B03"/>
    <w:rsid w:val="00C01D5A"/>
    <w:rsid w:val="00C01FEA"/>
    <w:rsid w:val="00C02897"/>
    <w:rsid w:val="00C0352D"/>
    <w:rsid w:val="00C03992"/>
    <w:rsid w:val="00C03B07"/>
    <w:rsid w:val="00C04CA0"/>
    <w:rsid w:val="00C07926"/>
    <w:rsid w:val="00C1064E"/>
    <w:rsid w:val="00C10CDC"/>
    <w:rsid w:val="00C10F79"/>
    <w:rsid w:val="00C113EE"/>
    <w:rsid w:val="00C1159D"/>
    <w:rsid w:val="00C11B55"/>
    <w:rsid w:val="00C12662"/>
    <w:rsid w:val="00C133BA"/>
    <w:rsid w:val="00C13555"/>
    <w:rsid w:val="00C145DA"/>
    <w:rsid w:val="00C153BD"/>
    <w:rsid w:val="00C168EE"/>
    <w:rsid w:val="00C171F2"/>
    <w:rsid w:val="00C177A8"/>
    <w:rsid w:val="00C17874"/>
    <w:rsid w:val="00C17BA7"/>
    <w:rsid w:val="00C20C66"/>
    <w:rsid w:val="00C21FB7"/>
    <w:rsid w:val="00C22735"/>
    <w:rsid w:val="00C25426"/>
    <w:rsid w:val="00C264F2"/>
    <w:rsid w:val="00C2658D"/>
    <w:rsid w:val="00C26AAD"/>
    <w:rsid w:val="00C27A19"/>
    <w:rsid w:val="00C32076"/>
    <w:rsid w:val="00C34307"/>
    <w:rsid w:val="00C356FE"/>
    <w:rsid w:val="00C40D83"/>
    <w:rsid w:val="00C4181D"/>
    <w:rsid w:val="00C43EF3"/>
    <w:rsid w:val="00C44393"/>
    <w:rsid w:val="00C4447D"/>
    <w:rsid w:val="00C45D83"/>
    <w:rsid w:val="00C46EA3"/>
    <w:rsid w:val="00C471F0"/>
    <w:rsid w:val="00C47490"/>
    <w:rsid w:val="00C47D9B"/>
    <w:rsid w:val="00C51149"/>
    <w:rsid w:val="00C524B0"/>
    <w:rsid w:val="00C52D21"/>
    <w:rsid w:val="00C54BC9"/>
    <w:rsid w:val="00C550AE"/>
    <w:rsid w:val="00C552E4"/>
    <w:rsid w:val="00C57378"/>
    <w:rsid w:val="00C57455"/>
    <w:rsid w:val="00C57802"/>
    <w:rsid w:val="00C610C1"/>
    <w:rsid w:val="00C621FA"/>
    <w:rsid w:val="00C62CDC"/>
    <w:rsid w:val="00C63645"/>
    <w:rsid w:val="00C65CD5"/>
    <w:rsid w:val="00C668B5"/>
    <w:rsid w:val="00C6782E"/>
    <w:rsid w:val="00C67C1A"/>
    <w:rsid w:val="00C72E3C"/>
    <w:rsid w:val="00C73261"/>
    <w:rsid w:val="00C735C2"/>
    <w:rsid w:val="00C749B2"/>
    <w:rsid w:val="00C76330"/>
    <w:rsid w:val="00C7689D"/>
    <w:rsid w:val="00C76D3A"/>
    <w:rsid w:val="00C76DA0"/>
    <w:rsid w:val="00C77805"/>
    <w:rsid w:val="00C77B6B"/>
    <w:rsid w:val="00C77EEC"/>
    <w:rsid w:val="00C77F2D"/>
    <w:rsid w:val="00C80256"/>
    <w:rsid w:val="00C803EC"/>
    <w:rsid w:val="00C80B2E"/>
    <w:rsid w:val="00C80C6B"/>
    <w:rsid w:val="00C80D1F"/>
    <w:rsid w:val="00C833AE"/>
    <w:rsid w:val="00C84027"/>
    <w:rsid w:val="00C85ADE"/>
    <w:rsid w:val="00C8683D"/>
    <w:rsid w:val="00C868F6"/>
    <w:rsid w:val="00C90005"/>
    <w:rsid w:val="00C90EF6"/>
    <w:rsid w:val="00C91506"/>
    <w:rsid w:val="00C927DE"/>
    <w:rsid w:val="00C935AC"/>
    <w:rsid w:val="00C93F4A"/>
    <w:rsid w:val="00C93FE1"/>
    <w:rsid w:val="00C94B74"/>
    <w:rsid w:val="00C9524C"/>
    <w:rsid w:val="00C95849"/>
    <w:rsid w:val="00C95C28"/>
    <w:rsid w:val="00C95D0E"/>
    <w:rsid w:val="00C95D74"/>
    <w:rsid w:val="00C95F12"/>
    <w:rsid w:val="00C97498"/>
    <w:rsid w:val="00CA152B"/>
    <w:rsid w:val="00CA1B39"/>
    <w:rsid w:val="00CA240B"/>
    <w:rsid w:val="00CA3484"/>
    <w:rsid w:val="00CA388A"/>
    <w:rsid w:val="00CA5A16"/>
    <w:rsid w:val="00CA66D4"/>
    <w:rsid w:val="00CA67D2"/>
    <w:rsid w:val="00CA6C28"/>
    <w:rsid w:val="00CA6F8D"/>
    <w:rsid w:val="00CB0664"/>
    <w:rsid w:val="00CB110F"/>
    <w:rsid w:val="00CB21B0"/>
    <w:rsid w:val="00CB246A"/>
    <w:rsid w:val="00CB27D9"/>
    <w:rsid w:val="00CB2BC6"/>
    <w:rsid w:val="00CB3C9D"/>
    <w:rsid w:val="00CB6BEE"/>
    <w:rsid w:val="00CB7088"/>
    <w:rsid w:val="00CB720B"/>
    <w:rsid w:val="00CC130A"/>
    <w:rsid w:val="00CC248E"/>
    <w:rsid w:val="00CC2772"/>
    <w:rsid w:val="00CC27AF"/>
    <w:rsid w:val="00CC3D0C"/>
    <w:rsid w:val="00CC61AC"/>
    <w:rsid w:val="00CC662C"/>
    <w:rsid w:val="00CC68A3"/>
    <w:rsid w:val="00CC6B84"/>
    <w:rsid w:val="00CC6FE3"/>
    <w:rsid w:val="00CD0CA1"/>
    <w:rsid w:val="00CD0E81"/>
    <w:rsid w:val="00CD1F90"/>
    <w:rsid w:val="00CD210E"/>
    <w:rsid w:val="00CD2574"/>
    <w:rsid w:val="00CD6D57"/>
    <w:rsid w:val="00CD7883"/>
    <w:rsid w:val="00CD7F57"/>
    <w:rsid w:val="00CE1D76"/>
    <w:rsid w:val="00CE4EA4"/>
    <w:rsid w:val="00CE4F1C"/>
    <w:rsid w:val="00CE67C4"/>
    <w:rsid w:val="00CE73CC"/>
    <w:rsid w:val="00CE775A"/>
    <w:rsid w:val="00CF1608"/>
    <w:rsid w:val="00CF22E7"/>
    <w:rsid w:val="00CF23A4"/>
    <w:rsid w:val="00CF783B"/>
    <w:rsid w:val="00CF7A7E"/>
    <w:rsid w:val="00D0138B"/>
    <w:rsid w:val="00D02CB8"/>
    <w:rsid w:val="00D05412"/>
    <w:rsid w:val="00D067B3"/>
    <w:rsid w:val="00D0694A"/>
    <w:rsid w:val="00D06D5E"/>
    <w:rsid w:val="00D07160"/>
    <w:rsid w:val="00D074A3"/>
    <w:rsid w:val="00D10E55"/>
    <w:rsid w:val="00D13AC6"/>
    <w:rsid w:val="00D13D8B"/>
    <w:rsid w:val="00D14C08"/>
    <w:rsid w:val="00D15175"/>
    <w:rsid w:val="00D170A9"/>
    <w:rsid w:val="00D17901"/>
    <w:rsid w:val="00D21120"/>
    <w:rsid w:val="00D21156"/>
    <w:rsid w:val="00D24227"/>
    <w:rsid w:val="00D24919"/>
    <w:rsid w:val="00D2510A"/>
    <w:rsid w:val="00D25D08"/>
    <w:rsid w:val="00D279B9"/>
    <w:rsid w:val="00D30764"/>
    <w:rsid w:val="00D30AC8"/>
    <w:rsid w:val="00D32126"/>
    <w:rsid w:val="00D32FF5"/>
    <w:rsid w:val="00D330C6"/>
    <w:rsid w:val="00D33535"/>
    <w:rsid w:val="00D33639"/>
    <w:rsid w:val="00D336B8"/>
    <w:rsid w:val="00D33806"/>
    <w:rsid w:val="00D33813"/>
    <w:rsid w:val="00D352AE"/>
    <w:rsid w:val="00D3564A"/>
    <w:rsid w:val="00D3593F"/>
    <w:rsid w:val="00D35EB6"/>
    <w:rsid w:val="00D36467"/>
    <w:rsid w:val="00D3763A"/>
    <w:rsid w:val="00D4051D"/>
    <w:rsid w:val="00D431EB"/>
    <w:rsid w:val="00D467CF"/>
    <w:rsid w:val="00D474ED"/>
    <w:rsid w:val="00D47A16"/>
    <w:rsid w:val="00D506C3"/>
    <w:rsid w:val="00D50761"/>
    <w:rsid w:val="00D50959"/>
    <w:rsid w:val="00D50C6C"/>
    <w:rsid w:val="00D5120F"/>
    <w:rsid w:val="00D518BE"/>
    <w:rsid w:val="00D53342"/>
    <w:rsid w:val="00D534D1"/>
    <w:rsid w:val="00D53A3F"/>
    <w:rsid w:val="00D54C2F"/>
    <w:rsid w:val="00D55BAE"/>
    <w:rsid w:val="00D565B2"/>
    <w:rsid w:val="00D56F09"/>
    <w:rsid w:val="00D57BCA"/>
    <w:rsid w:val="00D6067F"/>
    <w:rsid w:val="00D60FB5"/>
    <w:rsid w:val="00D618F6"/>
    <w:rsid w:val="00D6410B"/>
    <w:rsid w:val="00D64D59"/>
    <w:rsid w:val="00D64E49"/>
    <w:rsid w:val="00D6522F"/>
    <w:rsid w:val="00D6525D"/>
    <w:rsid w:val="00D65CB8"/>
    <w:rsid w:val="00D66D62"/>
    <w:rsid w:val="00D6774B"/>
    <w:rsid w:val="00D67E45"/>
    <w:rsid w:val="00D717FC"/>
    <w:rsid w:val="00D72FF5"/>
    <w:rsid w:val="00D7518D"/>
    <w:rsid w:val="00D75594"/>
    <w:rsid w:val="00D77D23"/>
    <w:rsid w:val="00D803CD"/>
    <w:rsid w:val="00D80F15"/>
    <w:rsid w:val="00D81495"/>
    <w:rsid w:val="00D8210F"/>
    <w:rsid w:val="00D82A11"/>
    <w:rsid w:val="00D832C9"/>
    <w:rsid w:val="00D84D9B"/>
    <w:rsid w:val="00D84FD7"/>
    <w:rsid w:val="00D853EB"/>
    <w:rsid w:val="00D868AE"/>
    <w:rsid w:val="00D877F9"/>
    <w:rsid w:val="00D87C60"/>
    <w:rsid w:val="00D906CF"/>
    <w:rsid w:val="00D9267B"/>
    <w:rsid w:val="00D92B5D"/>
    <w:rsid w:val="00D932EF"/>
    <w:rsid w:val="00D938FD"/>
    <w:rsid w:val="00D9524A"/>
    <w:rsid w:val="00D95277"/>
    <w:rsid w:val="00D956E5"/>
    <w:rsid w:val="00D95BE3"/>
    <w:rsid w:val="00D973C1"/>
    <w:rsid w:val="00D976EE"/>
    <w:rsid w:val="00D97893"/>
    <w:rsid w:val="00DA00A4"/>
    <w:rsid w:val="00DA4DB5"/>
    <w:rsid w:val="00DA5C87"/>
    <w:rsid w:val="00DA5F19"/>
    <w:rsid w:val="00DA5FC7"/>
    <w:rsid w:val="00DA67DD"/>
    <w:rsid w:val="00DA6A93"/>
    <w:rsid w:val="00DA713F"/>
    <w:rsid w:val="00DB0DFD"/>
    <w:rsid w:val="00DB26A2"/>
    <w:rsid w:val="00DB2E79"/>
    <w:rsid w:val="00DB30C2"/>
    <w:rsid w:val="00DB3A55"/>
    <w:rsid w:val="00DB4451"/>
    <w:rsid w:val="00DB5007"/>
    <w:rsid w:val="00DB58E1"/>
    <w:rsid w:val="00DB63C0"/>
    <w:rsid w:val="00DB65C5"/>
    <w:rsid w:val="00DB7609"/>
    <w:rsid w:val="00DC07A9"/>
    <w:rsid w:val="00DC0A1E"/>
    <w:rsid w:val="00DC2183"/>
    <w:rsid w:val="00DC25DE"/>
    <w:rsid w:val="00DC2791"/>
    <w:rsid w:val="00DC2D58"/>
    <w:rsid w:val="00DC3FFE"/>
    <w:rsid w:val="00DC4184"/>
    <w:rsid w:val="00DC41B2"/>
    <w:rsid w:val="00DC446D"/>
    <w:rsid w:val="00DC470D"/>
    <w:rsid w:val="00DC4DCF"/>
    <w:rsid w:val="00DC4F6A"/>
    <w:rsid w:val="00DC649C"/>
    <w:rsid w:val="00DC6D3C"/>
    <w:rsid w:val="00DD07D7"/>
    <w:rsid w:val="00DD47E0"/>
    <w:rsid w:val="00DD4B33"/>
    <w:rsid w:val="00DD4BD9"/>
    <w:rsid w:val="00DD580D"/>
    <w:rsid w:val="00DD5974"/>
    <w:rsid w:val="00DD6F7F"/>
    <w:rsid w:val="00DE067F"/>
    <w:rsid w:val="00DE1164"/>
    <w:rsid w:val="00DE2D98"/>
    <w:rsid w:val="00DE4986"/>
    <w:rsid w:val="00DE4D34"/>
    <w:rsid w:val="00DE4E1C"/>
    <w:rsid w:val="00DE53A1"/>
    <w:rsid w:val="00DE5DAE"/>
    <w:rsid w:val="00DE61D0"/>
    <w:rsid w:val="00DE6739"/>
    <w:rsid w:val="00DE6900"/>
    <w:rsid w:val="00DE6EFF"/>
    <w:rsid w:val="00DF0A61"/>
    <w:rsid w:val="00DF1371"/>
    <w:rsid w:val="00DF1391"/>
    <w:rsid w:val="00DF2027"/>
    <w:rsid w:val="00DF2531"/>
    <w:rsid w:val="00DF29BC"/>
    <w:rsid w:val="00DF359A"/>
    <w:rsid w:val="00DF3DE6"/>
    <w:rsid w:val="00DF48E1"/>
    <w:rsid w:val="00DF5385"/>
    <w:rsid w:val="00DF5AAB"/>
    <w:rsid w:val="00DF657C"/>
    <w:rsid w:val="00DF74BE"/>
    <w:rsid w:val="00E0177C"/>
    <w:rsid w:val="00E022EE"/>
    <w:rsid w:val="00E02C70"/>
    <w:rsid w:val="00E03763"/>
    <w:rsid w:val="00E03C7E"/>
    <w:rsid w:val="00E07269"/>
    <w:rsid w:val="00E07E3E"/>
    <w:rsid w:val="00E10483"/>
    <w:rsid w:val="00E10A72"/>
    <w:rsid w:val="00E111D0"/>
    <w:rsid w:val="00E12496"/>
    <w:rsid w:val="00E12678"/>
    <w:rsid w:val="00E12F32"/>
    <w:rsid w:val="00E131F9"/>
    <w:rsid w:val="00E166AB"/>
    <w:rsid w:val="00E16CA6"/>
    <w:rsid w:val="00E16F22"/>
    <w:rsid w:val="00E17B70"/>
    <w:rsid w:val="00E17F61"/>
    <w:rsid w:val="00E225BE"/>
    <w:rsid w:val="00E233BC"/>
    <w:rsid w:val="00E2480F"/>
    <w:rsid w:val="00E26091"/>
    <w:rsid w:val="00E30474"/>
    <w:rsid w:val="00E305EE"/>
    <w:rsid w:val="00E30A5E"/>
    <w:rsid w:val="00E317CD"/>
    <w:rsid w:val="00E3208C"/>
    <w:rsid w:val="00E3346F"/>
    <w:rsid w:val="00E33F76"/>
    <w:rsid w:val="00E343EC"/>
    <w:rsid w:val="00E34C0D"/>
    <w:rsid w:val="00E37180"/>
    <w:rsid w:val="00E37C20"/>
    <w:rsid w:val="00E40AEA"/>
    <w:rsid w:val="00E41BEE"/>
    <w:rsid w:val="00E430E8"/>
    <w:rsid w:val="00E431D4"/>
    <w:rsid w:val="00E43F09"/>
    <w:rsid w:val="00E44D90"/>
    <w:rsid w:val="00E453A8"/>
    <w:rsid w:val="00E466F7"/>
    <w:rsid w:val="00E46CAF"/>
    <w:rsid w:val="00E503F3"/>
    <w:rsid w:val="00E50801"/>
    <w:rsid w:val="00E50E36"/>
    <w:rsid w:val="00E510AB"/>
    <w:rsid w:val="00E51580"/>
    <w:rsid w:val="00E51DCD"/>
    <w:rsid w:val="00E52511"/>
    <w:rsid w:val="00E52988"/>
    <w:rsid w:val="00E5344E"/>
    <w:rsid w:val="00E55934"/>
    <w:rsid w:val="00E55C31"/>
    <w:rsid w:val="00E5658B"/>
    <w:rsid w:val="00E56CF4"/>
    <w:rsid w:val="00E56F74"/>
    <w:rsid w:val="00E61CF8"/>
    <w:rsid w:val="00E61D9B"/>
    <w:rsid w:val="00E63806"/>
    <w:rsid w:val="00E65F66"/>
    <w:rsid w:val="00E66AAC"/>
    <w:rsid w:val="00E66CCF"/>
    <w:rsid w:val="00E67F98"/>
    <w:rsid w:val="00E702BF"/>
    <w:rsid w:val="00E709A5"/>
    <w:rsid w:val="00E7182A"/>
    <w:rsid w:val="00E71B6D"/>
    <w:rsid w:val="00E72EBA"/>
    <w:rsid w:val="00E73902"/>
    <w:rsid w:val="00E73AF8"/>
    <w:rsid w:val="00E74508"/>
    <w:rsid w:val="00E74F41"/>
    <w:rsid w:val="00E764E6"/>
    <w:rsid w:val="00E778BF"/>
    <w:rsid w:val="00E77B82"/>
    <w:rsid w:val="00E804D6"/>
    <w:rsid w:val="00E81391"/>
    <w:rsid w:val="00E81DC2"/>
    <w:rsid w:val="00E835A3"/>
    <w:rsid w:val="00E838A9"/>
    <w:rsid w:val="00E83BF9"/>
    <w:rsid w:val="00E84B32"/>
    <w:rsid w:val="00E84F35"/>
    <w:rsid w:val="00E853E2"/>
    <w:rsid w:val="00E8586C"/>
    <w:rsid w:val="00E85B42"/>
    <w:rsid w:val="00E869B3"/>
    <w:rsid w:val="00E87427"/>
    <w:rsid w:val="00E90233"/>
    <w:rsid w:val="00E90A07"/>
    <w:rsid w:val="00E936C9"/>
    <w:rsid w:val="00E95524"/>
    <w:rsid w:val="00E95AA3"/>
    <w:rsid w:val="00E95E70"/>
    <w:rsid w:val="00E97A18"/>
    <w:rsid w:val="00E97A3C"/>
    <w:rsid w:val="00EA4AD2"/>
    <w:rsid w:val="00EA59B5"/>
    <w:rsid w:val="00EA6901"/>
    <w:rsid w:val="00EA7B2C"/>
    <w:rsid w:val="00EA7DCC"/>
    <w:rsid w:val="00EB0B8F"/>
    <w:rsid w:val="00EB28B6"/>
    <w:rsid w:val="00EB303F"/>
    <w:rsid w:val="00EB51E3"/>
    <w:rsid w:val="00EB671D"/>
    <w:rsid w:val="00EB6761"/>
    <w:rsid w:val="00EB6D12"/>
    <w:rsid w:val="00EB79DD"/>
    <w:rsid w:val="00EB7A58"/>
    <w:rsid w:val="00EC0023"/>
    <w:rsid w:val="00EC1C64"/>
    <w:rsid w:val="00EC2016"/>
    <w:rsid w:val="00EC2520"/>
    <w:rsid w:val="00EC48D1"/>
    <w:rsid w:val="00EC6C37"/>
    <w:rsid w:val="00EC7C7B"/>
    <w:rsid w:val="00ED011E"/>
    <w:rsid w:val="00ED13AC"/>
    <w:rsid w:val="00ED2505"/>
    <w:rsid w:val="00ED25E4"/>
    <w:rsid w:val="00ED2746"/>
    <w:rsid w:val="00ED2E5A"/>
    <w:rsid w:val="00ED440B"/>
    <w:rsid w:val="00ED5C89"/>
    <w:rsid w:val="00ED6946"/>
    <w:rsid w:val="00ED6B4A"/>
    <w:rsid w:val="00ED75A5"/>
    <w:rsid w:val="00ED76E6"/>
    <w:rsid w:val="00ED7701"/>
    <w:rsid w:val="00EE02D5"/>
    <w:rsid w:val="00EE2EB0"/>
    <w:rsid w:val="00EE2EB2"/>
    <w:rsid w:val="00EE31A6"/>
    <w:rsid w:val="00EE39B6"/>
    <w:rsid w:val="00EF0DF9"/>
    <w:rsid w:val="00EF1BEB"/>
    <w:rsid w:val="00EF1E24"/>
    <w:rsid w:val="00EF283F"/>
    <w:rsid w:val="00EF3514"/>
    <w:rsid w:val="00EF3D36"/>
    <w:rsid w:val="00EF5142"/>
    <w:rsid w:val="00EF64D8"/>
    <w:rsid w:val="00EF6BA7"/>
    <w:rsid w:val="00EF74C4"/>
    <w:rsid w:val="00EF797E"/>
    <w:rsid w:val="00F00556"/>
    <w:rsid w:val="00F0066E"/>
    <w:rsid w:val="00F0118D"/>
    <w:rsid w:val="00F01799"/>
    <w:rsid w:val="00F020CC"/>
    <w:rsid w:val="00F02920"/>
    <w:rsid w:val="00F029B1"/>
    <w:rsid w:val="00F045E5"/>
    <w:rsid w:val="00F046FE"/>
    <w:rsid w:val="00F06F11"/>
    <w:rsid w:val="00F07464"/>
    <w:rsid w:val="00F0781A"/>
    <w:rsid w:val="00F078FF"/>
    <w:rsid w:val="00F10931"/>
    <w:rsid w:val="00F13D02"/>
    <w:rsid w:val="00F1578B"/>
    <w:rsid w:val="00F20476"/>
    <w:rsid w:val="00F21A07"/>
    <w:rsid w:val="00F2273B"/>
    <w:rsid w:val="00F249DA"/>
    <w:rsid w:val="00F24F6D"/>
    <w:rsid w:val="00F25442"/>
    <w:rsid w:val="00F26584"/>
    <w:rsid w:val="00F271AF"/>
    <w:rsid w:val="00F2741A"/>
    <w:rsid w:val="00F27C74"/>
    <w:rsid w:val="00F30645"/>
    <w:rsid w:val="00F31FC9"/>
    <w:rsid w:val="00F3282F"/>
    <w:rsid w:val="00F33E19"/>
    <w:rsid w:val="00F35166"/>
    <w:rsid w:val="00F35A85"/>
    <w:rsid w:val="00F37ED0"/>
    <w:rsid w:val="00F40386"/>
    <w:rsid w:val="00F41264"/>
    <w:rsid w:val="00F416EF"/>
    <w:rsid w:val="00F44CBF"/>
    <w:rsid w:val="00F45AC9"/>
    <w:rsid w:val="00F46278"/>
    <w:rsid w:val="00F464A6"/>
    <w:rsid w:val="00F46925"/>
    <w:rsid w:val="00F52AB3"/>
    <w:rsid w:val="00F554DE"/>
    <w:rsid w:val="00F557C9"/>
    <w:rsid w:val="00F557E0"/>
    <w:rsid w:val="00F57B51"/>
    <w:rsid w:val="00F600C8"/>
    <w:rsid w:val="00F60742"/>
    <w:rsid w:val="00F61004"/>
    <w:rsid w:val="00F615E7"/>
    <w:rsid w:val="00F61EB7"/>
    <w:rsid w:val="00F64647"/>
    <w:rsid w:val="00F671BA"/>
    <w:rsid w:val="00F713D7"/>
    <w:rsid w:val="00F73CC2"/>
    <w:rsid w:val="00F749C5"/>
    <w:rsid w:val="00F74ABC"/>
    <w:rsid w:val="00F75C6F"/>
    <w:rsid w:val="00F775A7"/>
    <w:rsid w:val="00F77D95"/>
    <w:rsid w:val="00F80242"/>
    <w:rsid w:val="00F80C59"/>
    <w:rsid w:val="00F80C92"/>
    <w:rsid w:val="00F81768"/>
    <w:rsid w:val="00F81882"/>
    <w:rsid w:val="00F823E4"/>
    <w:rsid w:val="00F82B7D"/>
    <w:rsid w:val="00F861E7"/>
    <w:rsid w:val="00F863B8"/>
    <w:rsid w:val="00F9106B"/>
    <w:rsid w:val="00F91124"/>
    <w:rsid w:val="00F92735"/>
    <w:rsid w:val="00F92F6B"/>
    <w:rsid w:val="00F931BD"/>
    <w:rsid w:val="00F9488D"/>
    <w:rsid w:val="00F95FFF"/>
    <w:rsid w:val="00F9678F"/>
    <w:rsid w:val="00F97BAD"/>
    <w:rsid w:val="00FA08DD"/>
    <w:rsid w:val="00FA1946"/>
    <w:rsid w:val="00FA1A21"/>
    <w:rsid w:val="00FA2739"/>
    <w:rsid w:val="00FA36E6"/>
    <w:rsid w:val="00FA40C3"/>
    <w:rsid w:val="00FA5B74"/>
    <w:rsid w:val="00FA6F02"/>
    <w:rsid w:val="00FA734D"/>
    <w:rsid w:val="00FA7F50"/>
    <w:rsid w:val="00FB1597"/>
    <w:rsid w:val="00FB1F25"/>
    <w:rsid w:val="00FB301E"/>
    <w:rsid w:val="00FB39E3"/>
    <w:rsid w:val="00FB3BAB"/>
    <w:rsid w:val="00FB4D0B"/>
    <w:rsid w:val="00FB72DD"/>
    <w:rsid w:val="00FB7683"/>
    <w:rsid w:val="00FB77CB"/>
    <w:rsid w:val="00FC07A1"/>
    <w:rsid w:val="00FC0A2D"/>
    <w:rsid w:val="00FC0E4A"/>
    <w:rsid w:val="00FC1461"/>
    <w:rsid w:val="00FC179F"/>
    <w:rsid w:val="00FC1902"/>
    <w:rsid w:val="00FC1A62"/>
    <w:rsid w:val="00FC1EE5"/>
    <w:rsid w:val="00FC2DC4"/>
    <w:rsid w:val="00FC3A22"/>
    <w:rsid w:val="00FC3F33"/>
    <w:rsid w:val="00FC42C5"/>
    <w:rsid w:val="00FC58DC"/>
    <w:rsid w:val="00FC5A96"/>
    <w:rsid w:val="00FC693F"/>
    <w:rsid w:val="00FC6B9E"/>
    <w:rsid w:val="00FC7AF9"/>
    <w:rsid w:val="00FC7E8E"/>
    <w:rsid w:val="00FD1762"/>
    <w:rsid w:val="00FD1E77"/>
    <w:rsid w:val="00FD2AF4"/>
    <w:rsid w:val="00FD4840"/>
    <w:rsid w:val="00FD6504"/>
    <w:rsid w:val="00FD76B1"/>
    <w:rsid w:val="00FE1C89"/>
    <w:rsid w:val="00FE49C4"/>
    <w:rsid w:val="00FE4F03"/>
    <w:rsid w:val="00FE5FDD"/>
    <w:rsid w:val="00FE6105"/>
    <w:rsid w:val="00FE71B2"/>
    <w:rsid w:val="00FF0F68"/>
    <w:rsid w:val="00FF0FAD"/>
    <w:rsid w:val="00FF1885"/>
    <w:rsid w:val="00FF47F7"/>
    <w:rsid w:val="00FF4F43"/>
    <w:rsid w:val="00FF66D1"/>
    <w:rsid w:val="00FF6D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9321E571-2109-471F-BE33-E8D2EE52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1"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6FA0"/>
    <w:pPr>
      <w:spacing w:after="120" w:line="480" w:lineRule="auto"/>
    </w:pPr>
    <w:rPr>
      <w:rFonts w:eastAsiaTheme="minorHAnsi" w:cstheme="minorBidi"/>
      <w:sz w:val="24"/>
      <w:szCs w:val="22"/>
      <w:lang w:val="en-CA"/>
    </w:rPr>
  </w:style>
  <w:style w:type="paragraph" w:styleId="Heading1">
    <w:name w:val="heading 1"/>
    <w:aliases w:val="AG Heading 1"/>
    <w:basedOn w:val="Normal"/>
    <w:next w:val="BodyText12"/>
    <w:link w:val="Heading1Char"/>
    <w:uiPriority w:val="1"/>
    <w:qFormat/>
    <w:rsid w:val="00A423B4"/>
    <w:pPr>
      <w:keepNext/>
      <w:outlineLvl w:val="0"/>
    </w:pPr>
    <w:rPr>
      <w:b/>
      <w:bCs/>
      <w:caps/>
      <w:lang w:val="en-AU"/>
    </w:rPr>
  </w:style>
  <w:style w:type="paragraph" w:styleId="Heading2">
    <w:name w:val="heading 2"/>
    <w:aliases w:val="AG Heading 2"/>
    <w:basedOn w:val="Heading6"/>
    <w:next w:val="BodyText12"/>
    <w:link w:val="Heading2Char"/>
    <w:uiPriority w:val="2"/>
    <w:qFormat/>
    <w:rsid w:val="00F02920"/>
    <w:pPr>
      <w:keepNext/>
      <w:spacing w:after="120" w:line="480" w:lineRule="auto"/>
      <w:outlineLvl w:val="1"/>
    </w:pPr>
    <w:rPr>
      <w:b/>
      <w:i w:val="0"/>
    </w:rPr>
  </w:style>
  <w:style w:type="paragraph" w:styleId="Heading3">
    <w:name w:val="heading 3"/>
    <w:aliases w:val="AG Heading 3"/>
    <w:next w:val="BodyText12"/>
    <w:link w:val="Heading3Char"/>
    <w:uiPriority w:val="3"/>
    <w:qFormat/>
    <w:rsid w:val="00A423B4"/>
    <w:pPr>
      <w:keepNext/>
      <w:keepLines/>
      <w:numPr>
        <w:ilvl w:val="3"/>
        <w:numId w:val="3"/>
      </w:numPr>
      <w:spacing w:before="240" w:after="120"/>
      <w:outlineLvl w:val="2"/>
    </w:pPr>
    <w:rPr>
      <w:rFonts w:ascii="Arial" w:hAnsi="Arial"/>
      <w:b/>
      <w:sz w:val="24"/>
    </w:rPr>
  </w:style>
  <w:style w:type="paragraph" w:styleId="Heading4">
    <w:name w:val="heading 4"/>
    <w:aliases w:val="AG Heading 4"/>
    <w:next w:val="BodyText12"/>
    <w:link w:val="Heading4Char"/>
    <w:uiPriority w:val="4"/>
    <w:qFormat/>
    <w:rsid w:val="00A423B4"/>
    <w:pPr>
      <w:keepNext/>
      <w:keepLines/>
      <w:numPr>
        <w:ilvl w:val="4"/>
        <w:numId w:val="3"/>
      </w:numPr>
      <w:spacing w:before="240" w:after="120"/>
      <w:outlineLvl w:val="3"/>
    </w:pPr>
    <w:rPr>
      <w:rFonts w:ascii="Arial" w:hAnsi="Arial"/>
      <w:b/>
      <w:sz w:val="24"/>
    </w:rPr>
  </w:style>
  <w:style w:type="paragraph" w:styleId="Heading5">
    <w:name w:val="heading 5"/>
    <w:aliases w:val="AG Heading 5"/>
    <w:next w:val="BodyText12"/>
    <w:link w:val="Heading5Char"/>
    <w:uiPriority w:val="5"/>
    <w:qFormat/>
    <w:rsid w:val="00A423B4"/>
    <w:pPr>
      <w:keepNext/>
      <w:keepLines/>
      <w:numPr>
        <w:ilvl w:val="5"/>
        <w:numId w:val="3"/>
      </w:numPr>
      <w:spacing w:before="240" w:after="120"/>
      <w:outlineLvl w:val="4"/>
    </w:pPr>
    <w:rPr>
      <w:rFonts w:ascii="Arial" w:hAnsi="Arial"/>
      <w:b/>
      <w:sz w:val="24"/>
    </w:rPr>
  </w:style>
  <w:style w:type="paragraph" w:styleId="Heading6">
    <w:name w:val="heading 6"/>
    <w:aliases w:val="AG Heading 6"/>
    <w:basedOn w:val="BodyText12"/>
    <w:next w:val="BodyText12"/>
    <w:link w:val="Heading6Char"/>
    <w:uiPriority w:val="1"/>
    <w:qFormat/>
    <w:rsid w:val="00A423B4"/>
    <w:pPr>
      <w:outlineLvl w:val="5"/>
    </w:pPr>
    <w:rPr>
      <w:i/>
      <w:iCs/>
      <w:lang w:val="en-AU"/>
    </w:rPr>
  </w:style>
  <w:style w:type="paragraph" w:styleId="Heading7">
    <w:name w:val="heading 7"/>
    <w:next w:val="BodyText12"/>
    <w:link w:val="Heading7Char"/>
    <w:uiPriority w:val="9"/>
    <w:qFormat/>
    <w:rsid w:val="00A423B4"/>
    <w:pPr>
      <w:keepNext/>
      <w:keepLines/>
      <w:numPr>
        <w:ilvl w:val="7"/>
        <w:numId w:val="3"/>
      </w:numPr>
      <w:spacing w:before="240" w:after="120"/>
      <w:outlineLvl w:val="6"/>
    </w:pPr>
    <w:rPr>
      <w:rFonts w:ascii="Arial" w:hAnsi="Arial"/>
      <w:b/>
      <w:sz w:val="24"/>
    </w:rPr>
  </w:style>
  <w:style w:type="paragraph" w:styleId="Heading8">
    <w:name w:val="heading 8"/>
    <w:next w:val="BodyText12"/>
    <w:link w:val="Heading8Char"/>
    <w:qFormat/>
    <w:rsid w:val="00A423B4"/>
    <w:pPr>
      <w:keepNext/>
      <w:keepLines/>
      <w:numPr>
        <w:ilvl w:val="8"/>
        <w:numId w:val="3"/>
      </w:numPr>
      <w:spacing w:before="240" w:after="120"/>
      <w:outlineLvl w:val="7"/>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1"/>
  </w:style>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sSection">
    <w:name w:val="Figures Section"/>
    <w:basedOn w:val="Heading1"/>
    <w:qFormat/>
  </w:style>
  <w:style w:type="paragraph" w:styleId="Title">
    <w:name w:val="Title"/>
    <w:basedOn w:val="Normal"/>
    <w:next w:val="Normal"/>
    <w:link w:val="TitleChar"/>
    <w:uiPriority w:val="10"/>
    <w:qFormat/>
    <w:rsid w:val="00A423B4"/>
    <w:rPr>
      <w:b/>
      <w:bCs/>
    </w:rPr>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styleId="CommentText">
    <w:name w:val="annotation text"/>
    <w:basedOn w:val="Normal"/>
    <w:link w:val="CommentTextChar"/>
    <w:unhideWhenUsed/>
    <w:qFormat/>
    <w:rsid w:val="00A423B4"/>
    <w:pPr>
      <w:spacing w:line="240" w:lineRule="auto"/>
    </w:pPr>
    <w:rPr>
      <w:sz w:val="20"/>
      <w:szCs w:val="20"/>
    </w:rPr>
  </w:style>
  <w:style w:type="paragraph" w:styleId="ListParagraph">
    <w:name w:val="List Paragraph"/>
    <w:aliases w:val="Bullet List,FooterText,List Paragraph1,numbered,Paragraphe de liste1,Bulletr List Paragraph,列出段落,列出段落1,List Paragraph2,List Paragraph21,Parágrafo da Lista1,リスト段落1,List Paragraph11,Listeafsnit1,Párrafo de lista1,Colorful List - Accent 11"/>
    <w:basedOn w:val="Normal"/>
    <w:link w:val="ListParagraphChar"/>
    <w:qFormat/>
    <w:rsid w:val="00A423B4"/>
    <w:pPr>
      <w:spacing w:line="240" w:lineRule="auto"/>
      <w:ind w:left="720"/>
    </w:pPr>
    <w:rPr>
      <w:rFonts w:cs="Calibri"/>
      <w:lang w:val="en-AU" w:eastAsia="en-AU"/>
    </w:rPr>
  </w:style>
  <w:style w:type="paragraph" w:customStyle="1" w:styleId="00Paragraph">
    <w:name w:val="00Paragraph"/>
    <w:qFormat/>
    <w:pPr>
      <w:spacing w:before="120" w:after="120" w:line="326" w:lineRule="auto"/>
    </w:pPr>
    <w:rPr>
      <w:sz w:val="22"/>
    </w:rPr>
  </w:style>
  <w:style w:type="paragraph" w:styleId="Caption">
    <w:name w:val="caption"/>
    <w:aliases w:val="Caption-FUSA,Bayer Caption,Caption Char2,Caption Char1 Char,Caption Char Char Char,Caption Char Char1"/>
    <w:next w:val="Normal"/>
    <w:unhideWhenUsed/>
    <w:qFormat/>
    <w:rsid w:val="00A423B4"/>
    <w:pPr>
      <w:keepNext/>
      <w:tabs>
        <w:tab w:val="left" w:pos="1152"/>
      </w:tabs>
      <w:spacing w:before="60" w:after="60"/>
      <w:ind w:left="1152" w:hanging="1152"/>
    </w:pPr>
    <w:rPr>
      <w:b/>
      <w:bCs/>
      <w:szCs w:val="18"/>
    </w:rPr>
  </w:style>
  <w:style w:type="paragraph" w:styleId="Revision">
    <w:name w:val="Revision"/>
    <w:hidden/>
    <w:uiPriority w:val="99"/>
    <w:rsid w:val="00A423B4"/>
    <w:rPr>
      <w:rFonts w:eastAsiaTheme="minorHAnsi" w:cstheme="minorBidi"/>
      <w:sz w:val="24"/>
      <w:szCs w:val="22"/>
    </w:rPr>
  </w:style>
  <w:style w:type="paragraph" w:styleId="NormalWeb">
    <w:name w:val="Normal (Web)"/>
    <w:basedOn w:val="Normal"/>
    <w:uiPriority w:val="99"/>
    <w:unhideWhenUsed/>
    <w:rsid w:val="00A423B4"/>
    <w:pPr>
      <w:spacing w:before="100" w:beforeAutospacing="1" w:after="100" w:afterAutospacing="1" w:line="240" w:lineRule="auto"/>
    </w:pPr>
    <w:rPr>
      <w:rFonts w:eastAsia="Times New Roman" w:cs="Times New Roman"/>
      <w:szCs w:val="24"/>
      <w:lang w:val="en-US"/>
    </w:rPr>
  </w:style>
  <w:style w:type="paragraph" w:customStyle="1" w:styleId="10Bullet">
    <w:name w:val="10Bullet"/>
    <w:qFormat/>
    <w:pPr>
      <w:numPr>
        <w:numId w:val="1"/>
      </w:numPr>
      <w:spacing w:line="326" w:lineRule="auto"/>
    </w:pPr>
    <w:rPr>
      <w:sz w:val="22"/>
    </w:rPr>
  </w:style>
  <w:style w:type="paragraph" w:customStyle="1" w:styleId="EndNoteBibliographyTitle">
    <w:name w:val="EndNote Bibliography Title"/>
    <w:basedOn w:val="Normal"/>
    <w:link w:val="EndNoteBibliographyTitleChar"/>
    <w:rsid w:val="00A423B4"/>
    <w:pPr>
      <w:jc w:val="center"/>
    </w:pPr>
    <w:rPr>
      <w:rFonts w:ascii="Arial" w:hAnsi="Arial" w:cs="Arial"/>
      <w:noProof/>
    </w:rPr>
  </w:style>
  <w:style w:type="paragraph" w:customStyle="1" w:styleId="EndNoteBibliography">
    <w:name w:val="EndNote Bibliography"/>
    <w:basedOn w:val="Normal"/>
    <w:link w:val="EndNoteBibliographyChar"/>
    <w:qFormat/>
    <w:rsid w:val="00A423B4"/>
    <w:pPr>
      <w:spacing w:line="240" w:lineRule="auto"/>
    </w:pPr>
    <w:rPr>
      <w:rFonts w:ascii="Arial" w:hAnsi="Arial" w:cs="Arial"/>
      <w:noProof/>
    </w:rPr>
  </w:style>
  <w:style w:type="paragraph" w:styleId="Header">
    <w:name w:val="header"/>
    <w:aliases w:val="AG Header"/>
    <w:basedOn w:val="Normal"/>
    <w:link w:val="HeaderChar"/>
    <w:uiPriority w:val="99"/>
    <w:unhideWhenUsed/>
    <w:rsid w:val="00A423B4"/>
    <w:pPr>
      <w:tabs>
        <w:tab w:val="center" w:pos="4513"/>
        <w:tab w:val="right" w:pos="9026"/>
      </w:tabs>
      <w:spacing w:line="240" w:lineRule="auto"/>
    </w:pPr>
  </w:style>
  <w:style w:type="paragraph" w:styleId="Footer">
    <w:name w:val="footer"/>
    <w:basedOn w:val="Normal"/>
    <w:link w:val="FooterChar"/>
    <w:unhideWhenUsed/>
    <w:qFormat/>
    <w:rsid w:val="00A423B4"/>
    <w:pPr>
      <w:tabs>
        <w:tab w:val="center" w:pos="4513"/>
        <w:tab w:val="right" w:pos="9026"/>
      </w:tabs>
      <w:spacing w:line="240" w:lineRule="auto"/>
    </w:pPr>
  </w:style>
  <w:style w:type="paragraph" w:customStyle="1" w:styleId="AGBullet">
    <w:name w:val="AG Bullet"/>
    <w:basedOn w:val="ListParagraph"/>
    <w:qFormat/>
    <w:pPr>
      <w:numPr>
        <w:numId w:val="2"/>
      </w:numPr>
      <w:tabs>
        <w:tab w:val="num" w:pos="360"/>
      </w:tabs>
      <w:spacing w:before="120" w:line="264" w:lineRule="auto"/>
      <w:ind w:left="720" w:firstLine="0"/>
    </w:pPr>
  </w:style>
  <w:style w:type="paragraph" w:styleId="FootnoteText">
    <w:name w:val="footnote text"/>
    <w:aliases w:val="AG Footnote Text"/>
    <w:basedOn w:val="Normal"/>
    <w:link w:val="FootnoteTextChar"/>
    <w:uiPriority w:val="99"/>
    <w:unhideWhenUsed/>
    <w:qFormat/>
    <w:rsid w:val="00AE5831"/>
    <w:pPr>
      <w:spacing w:line="240" w:lineRule="auto"/>
      <w:contextualSpacing/>
    </w:pPr>
    <w:rPr>
      <w:sz w:val="20"/>
      <w:szCs w:val="20"/>
    </w:rPr>
  </w:style>
  <w:style w:type="paragraph" w:customStyle="1" w:styleId="Paragraph">
    <w:name w:val="Paragraph"/>
    <w:qFormat/>
    <w:pPr>
      <w:spacing w:after="240" w:line="276" w:lineRule="auto"/>
    </w:pPr>
    <w:rPr>
      <w:sz w:val="22"/>
    </w:rPr>
  </w:style>
  <w:style w:type="paragraph" w:styleId="NoSpacing">
    <w:name w:val="No Spacing"/>
    <w:qFormat/>
    <w:rPr>
      <w:sz w:val="24"/>
    </w:rPr>
  </w:style>
  <w:style w:type="paragraph" w:customStyle="1" w:styleId="Manuscriptbody">
    <w:name w:val="Manuscript body"/>
    <w:basedOn w:val="NormalWeb"/>
    <w:qFormat/>
    <w:pPr>
      <w:spacing w:before="0" w:beforeAutospacing="0" w:line="360" w:lineRule="auto"/>
    </w:pPr>
    <w:rPr>
      <w:rFonts w:ascii="Tahoma" w:hAnsi="Tahoma"/>
      <w:sz w:val="22"/>
    </w:rPr>
  </w:style>
  <w:style w:type="character" w:styleId="CommentReference">
    <w:name w:val="annotation reference"/>
    <w:basedOn w:val="DefaultParagraphFont"/>
    <w:uiPriority w:val="99"/>
    <w:semiHidden/>
    <w:unhideWhenUsed/>
    <w:rsid w:val="00A423B4"/>
    <w:rPr>
      <w:sz w:val="16"/>
      <w:szCs w:val="16"/>
    </w:rPr>
  </w:style>
  <w:style w:type="character" w:customStyle="1" w:styleId="Heading7Char">
    <w:name w:val="Heading 7 Char"/>
    <w:basedOn w:val="DefaultParagraphFont"/>
    <w:link w:val="Heading7"/>
    <w:uiPriority w:val="9"/>
    <w:rsid w:val="00A423B4"/>
    <w:rPr>
      <w:rFonts w:ascii="Arial" w:hAnsi="Arial"/>
      <w:b/>
      <w:sz w:val="24"/>
    </w:rPr>
  </w:style>
  <w:style w:type="character" w:customStyle="1" w:styleId="Heading8Char">
    <w:name w:val="Heading 8 Char"/>
    <w:basedOn w:val="DefaultParagraphFont"/>
    <w:link w:val="Heading8"/>
    <w:rsid w:val="00A423B4"/>
    <w:rPr>
      <w:rFonts w:ascii="Arial" w:hAnsi="Arial"/>
      <w:b/>
      <w:sz w:val="24"/>
    </w:rPr>
  </w:style>
  <w:style w:type="table" w:styleId="TableGrid">
    <w:name w:val="Table Grid"/>
    <w:basedOn w:val="TableNormal"/>
    <w:uiPriority w:val="59"/>
    <w:rsid w:val="00A423B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423B4"/>
    <w:rPr>
      <w:color w:val="0000FF"/>
      <w:u w:val="single"/>
    </w:rPr>
  </w:style>
  <w:style w:type="character" w:customStyle="1" w:styleId="gsibl">
    <w:name w:val="gs_ibl"/>
    <w:basedOn w:val="DefaultParagraphFont"/>
    <w:rsid w:val="00A423B4"/>
  </w:style>
  <w:style w:type="character" w:customStyle="1" w:styleId="Heading1Char">
    <w:name w:val="Heading 1 Char"/>
    <w:aliases w:val="AG Heading 1 Char"/>
    <w:basedOn w:val="DefaultParagraphFont"/>
    <w:link w:val="Heading1"/>
    <w:uiPriority w:val="1"/>
    <w:rsid w:val="00A423B4"/>
    <w:rPr>
      <w:rFonts w:eastAsiaTheme="minorHAnsi" w:cstheme="minorBidi"/>
      <w:b/>
      <w:bCs/>
      <w:caps/>
      <w:sz w:val="24"/>
      <w:szCs w:val="22"/>
      <w:lang w:val="en-AU"/>
    </w:rPr>
  </w:style>
  <w:style w:type="character" w:customStyle="1" w:styleId="Heading2Char">
    <w:name w:val="Heading 2 Char"/>
    <w:aliases w:val="AG Heading 2 Char"/>
    <w:basedOn w:val="DefaultParagraphFont"/>
    <w:link w:val="Heading2"/>
    <w:uiPriority w:val="2"/>
    <w:rsid w:val="00F02920"/>
    <w:rPr>
      <w:b/>
      <w:iCs/>
      <w:sz w:val="24"/>
      <w:lang w:val="en-AU"/>
    </w:rPr>
  </w:style>
  <w:style w:type="character" w:customStyle="1" w:styleId="Heading3Char">
    <w:name w:val="Heading 3 Char"/>
    <w:aliases w:val="AG Heading 3 Char"/>
    <w:basedOn w:val="DefaultParagraphFont"/>
    <w:link w:val="Heading3"/>
    <w:uiPriority w:val="3"/>
    <w:rsid w:val="00A423B4"/>
    <w:rPr>
      <w:rFonts w:ascii="Arial" w:hAnsi="Arial"/>
      <w:b/>
      <w:sz w:val="24"/>
    </w:rPr>
  </w:style>
  <w:style w:type="character" w:customStyle="1" w:styleId="Heading4Char">
    <w:name w:val="Heading 4 Char"/>
    <w:aliases w:val="AG Heading 4 Char"/>
    <w:basedOn w:val="DefaultParagraphFont"/>
    <w:link w:val="Heading4"/>
    <w:uiPriority w:val="4"/>
    <w:rsid w:val="00A423B4"/>
    <w:rPr>
      <w:rFonts w:ascii="Arial" w:hAnsi="Arial"/>
      <w:b/>
      <w:sz w:val="24"/>
    </w:rPr>
  </w:style>
  <w:style w:type="character" w:customStyle="1" w:styleId="Heading5Char">
    <w:name w:val="Heading 5 Char"/>
    <w:aliases w:val="AG Heading 5 Char"/>
    <w:basedOn w:val="DefaultParagraphFont"/>
    <w:link w:val="Heading5"/>
    <w:uiPriority w:val="5"/>
    <w:rsid w:val="00A423B4"/>
    <w:rPr>
      <w:rFonts w:ascii="Arial" w:hAnsi="Arial"/>
      <w:b/>
      <w:sz w:val="24"/>
    </w:rPr>
  </w:style>
  <w:style w:type="character" w:customStyle="1" w:styleId="Heading6Char">
    <w:name w:val="Heading 6 Char"/>
    <w:aliases w:val="AG Heading 6 Char"/>
    <w:basedOn w:val="DefaultParagraphFont"/>
    <w:link w:val="Heading6"/>
    <w:uiPriority w:val="1"/>
    <w:rsid w:val="00A423B4"/>
    <w:rPr>
      <w:i/>
      <w:iCs/>
      <w:sz w:val="24"/>
      <w:lang w:val="en-AU"/>
    </w:rPr>
  </w:style>
  <w:style w:type="paragraph" w:customStyle="1" w:styleId="BodyText12">
    <w:name w:val="Body Text 12"/>
    <w:link w:val="BodyText12Char"/>
    <w:qFormat/>
    <w:rsid w:val="00A423B4"/>
    <w:pPr>
      <w:spacing w:after="240" w:line="264" w:lineRule="auto"/>
      <w:jc w:val="both"/>
    </w:pPr>
    <w:rPr>
      <w:sz w:val="24"/>
    </w:rPr>
  </w:style>
  <w:style w:type="character" w:customStyle="1" w:styleId="BodyText12Char">
    <w:name w:val="Body Text 12 Char"/>
    <w:basedOn w:val="DefaultParagraphFont"/>
    <w:link w:val="BodyText12"/>
    <w:rsid w:val="00A423B4"/>
    <w:rPr>
      <w:sz w:val="24"/>
    </w:rPr>
  </w:style>
  <w:style w:type="paragraph" w:customStyle="1" w:styleId="Heading0">
    <w:name w:val="Heading 0"/>
    <w:next w:val="BodyText12"/>
    <w:qFormat/>
    <w:rsid w:val="00A423B4"/>
    <w:pPr>
      <w:keepNext/>
      <w:keepLines/>
      <w:numPr>
        <w:numId w:val="3"/>
      </w:numPr>
      <w:spacing w:before="240" w:after="120"/>
      <w:outlineLvl w:val="0"/>
    </w:pPr>
    <w:rPr>
      <w:rFonts w:ascii="Arial" w:hAnsi="Arial"/>
      <w:b/>
      <w:caps/>
      <w:sz w:val="24"/>
    </w:rPr>
  </w:style>
  <w:style w:type="character" w:customStyle="1" w:styleId="ListParagraphChar">
    <w:name w:val="List Paragraph Char"/>
    <w:aliases w:val="Bullet List Char,FooterText Char,List Paragraph1 Char,numbered Char,Paragraphe de liste1 Char,Bulletr List Paragraph Char,列出段落 Char,列出段落1 Char,List Paragraph2 Char,List Paragraph21 Char,Parágrafo da Lista1 Char,リスト段落1 Char"/>
    <w:basedOn w:val="DefaultParagraphFont"/>
    <w:link w:val="ListParagraph"/>
    <w:uiPriority w:val="34"/>
    <w:rsid w:val="00A423B4"/>
    <w:rPr>
      <w:rFonts w:eastAsiaTheme="minorHAnsi" w:cs="Calibri"/>
      <w:sz w:val="24"/>
      <w:szCs w:val="22"/>
      <w:lang w:val="en-AU" w:eastAsia="en-AU"/>
    </w:rPr>
  </w:style>
  <w:style w:type="character" w:customStyle="1" w:styleId="CommentTextChar">
    <w:name w:val="Comment Text Char"/>
    <w:basedOn w:val="DefaultParagraphFont"/>
    <w:link w:val="CommentText"/>
    <w:rsid w:val="00A423B4"/>
    <w:rPr>
      <w:rFonts w:eastAsiaTheme="minorHAnsi" w:cstheme="minorBidi"/>
      <w:lang w:val="en-CA"/>
    </w:rPr>
  </w:style>
  <w:style w:type="paragraph" w:styleId="CommentSubject">
    <w:name w:val="annotation subject"/>
    <w:basedOn w:val="CommentText"/>
    <w:next w:val="CommentText"/>
    <w:link w:val="CommentSubjectChar"/>
    <w:uiPriority w:val="99"/>
    <w:semiHidden/>
    <w:unhideWhenUsed/>
    <w:rsid w:val="00A423B4"/>
    <w:rPr>
      <w:b/>
      <w:bCs/>
    </w:rPr>
  </w:style>
  <w:style w:type="character" w:customStyle="1" w:styleId="CommentTextChar1">
    <w:name w:val="Comment Text Char1"/>
    <w:basedOn w:val="DefaultParagraphFont"/>
    <w:uiPriority w:val="99"/>
    <w:rsid w:val="00A423B4"/>
    <w:rPr>
      <w:rFonts w:eastAsiaTheme="minorHAnsi" w:cstheme="minorBidi"/>
      <w:lang w:val="en-CA"/>
    </w:rPr>
  </w:style>
  <w:style w:type="character" w:customStyle="1" w:styleId="CommentSubjectChar">
    <w:name w:val="Comment Subject Char"/>
    <w:basedOn w:val="CommentTextChar"/>
    <w:link w:val="CommentSubject"/>
    <w:uiPriority w:val="99"/>
    <w:semiHidden/>
    <w:rsid w:val="00A423B4"/>
    <w:rPr>
      <w:rFonts w:eastAsiaTheme="minorHAnsi" w:cstheme="minorBidi"/>
      <w:b/>
      <w:bCs/>
      <w:lang w:val="en-CA"/>
    </w:rPr>
  </w:style>
  <w:style w:type="character" w:customStyle="1" w:styleId="HeaderChar">
    <w:name w:val="Header Char"/>
    <w:aliases w:val="AG Header Char"/>
    <w:basedOn w:val="DefaultParagraphFont"/>
    <w:link w:val="Header"/>
    <w:uiPriority w:val="99"/>
    <w:rsid w:val="00A423B4"/>
    <w:rPr>
      <w:rFonts w:eastAsiaTheme="minorHAnsi" w:cstheme="minorBidi"/>
      <w:sz w:val="24"/>
      <w:szCs w:val="22"/>
      <w:lang w:val="en-CA"/>
    </w:rPr>
  </w:style>
  <w:style w:type="character" w:customStyle="1" w:styleId="FooterChar">
    <w:name w:val="Footer Char"/>
    <w:basedOn w:val="DefaultParagraphFont"/>
    <w:link w:val="Footer"/>
    <w:rsid w:val="00A423B4"/>
    <w:rPr>
      <w:rFonts w:eastAsiaTheme="minorHAnsi" w:cstheme="minorBidi"/>
      <w:sz w:val="24"/>
      <w:szCs w:val="22"/>
      <w:lang w:val="en-CA"/>
    </w:rPr>
  </w:style>
  <w:style w:type="character" w:styleId="UnresolvedMention">
    <w:name w:val="Unresolved Mention"/>
    <w:basedOn w:val="DefaultParagraphFont"/>
    <w:uiPriority w:val="99"/>
    <w:semiHidden/>
    <w:unhideWhenUsed/>
    <w:rsid w:val="00A423B4"/>
    <w:rPr>
      <w:color w:val="605E5C"/>
      <w:shd w:val="clear" w:color="auto" w:fill="E1DFDD"/>
    </w:rPr>
  </w:style>
  <w:style w:type="character" w:styleId="FollowedHyperlink">
    <w:name w:val="FollowedHyperlink"/>
    <w:basedOn w:val="DefaultParagraphFont"/>
    <w:uiPriority w:val="99"/>
    <w:semiHidden/>
    <w:unhideWhenUsed/>
    <w:rsid w:val="00A423B4"/>
    <w:rPr>
      <w:color w:val="954F72" w:themeColor="followedHyperlink"/>
      <w:u w:val="single"/>
    </w:rPr>
  </w:style>
  <w:style w:type="character" w:customStyle="1" w:styleId="EndNoteBibliographyTitleChar">
    <w:name w:val="EndNote Bibliography Title Char"/>
    <w:basedOn w:val="DefaultParagraphFont"/>
    <w:link w:val="EndNoteBibliographyTitle"/>
    <w:rsid w:val="00A423B4"/>
    <w:rPr>
      <w:rFonts w:ascii="Arial" w:eastAsiaTheme="minorHAnsi" w:hAnsi="Arial" w:cs="Arial"/>
      <w:noProof/>
      <w:sz w:val="24"/>
      <w:szCs w:val="22"/>
      <w:lang w:val="en-CA"/>
    </w:rPr>
  </w:style>
  <w:style w:type="character" w:customStyle="1" w:styleId="EndNoteBibliographyChar">
    <w:name w:val="EndNote Bibliography Char"/>
    <w:basedOn w:val="DefaultParagraphFont"/>
    <w:link w:val="EndNoteBibliography"/>
    <w:rsid w:val="00A423B4"/>
    <w:rPr>
      <w:rFonts w:ascii="Arial" w:eastAsiaTheme="minorHAnsi" w:hAnsi="Arial" w:cs="Arial"/>
      <w:noProof/>
      <w:sz w:val="24"/>
      <w:szCs w:val="22"/>
      <w:lang w:val="en-CA"/>
    </w:rPr>
  </w:style>
  <w:style w:type="paragraph" w:customStyle="1" w:styleId="BodyText11">
    <w:name w:val="Body Text 11"/>
    <w:qFormat/>
    <w:rsid w:val="00A423B4"/>
    <w:pPr>
      <w:spacing w:after="180"/>
      <w:jc w:val="both"/>
    </w:pPr>
    <w:rPr>
      <w:sz w:val="22"/>
    </w:rPr>
  </w:style>
  <w:style w:type="table" w:customStyle="1" w:styleId="TableGrid3">
    <w:name w:val="Table Grid3"/>
    <w:basedOn w:val="TableNormal"/>
    <w:next w:val="TableGrid"/>
    <w:uiPriority w:val="59"/>
    <w:rsid w:val="00A423B4"/>
    <w:rPr>
      <w:rFonts w:ascii="Arial" w:eastAsia="Arial" w:hAnsi="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 Text"/>
    <w:qFormat/>
    <w:rsid w:val="00A423B4"/>
    <w:pPr>
      <w:tabs>
        <w:tab w:val="left" w:pos="288"/>
        <w:tab w:val="left" w:pos="576"/>
        <w:tab w:val="left" w:pos="864"/>
      </w:tabs>
    </w:pPr>
  </w:style>
  <w:style w:type="character" w:customStyle="1" w:styleId="TitleChar">
    <w:name w:val="Title Char"/>
    <w:basedOn w:val="DefaultParagraphFont"/>
    <w:link w:val="Title"/>
    <w:uiPriority w:val="10"/>
    <w:rsid w:val="00A423B4"/>
    <w:rPr>
      <w:rFonts w:eastAsiaTheme="minorHAnsi" w:cstheme="minorBidi"/>
      <w:b/>
      <w:bCs/>
      <w:sz w:val="24"/>
      <w:szCs w:val="22"/>
      <w:lang w:val="en-CA"/>
    </w:rPr>
  </w:style>
  <w:style w:type="character" w:styleId="Emphasis">
    <w:name w:val="Emphasis"/>
    <w:basedOn w:val="DefaultParagraphFont"/>
    <w:uiPriority w:val="20"/>
    <w:qFormat/>
    <w:rsid w:val="00A423B4"/>
    <w:rPr>
      <w:i/>
      <w:iCs/>
    </w:rPr>
  </w:style>
  <w:style w:type="paragraph" w:customStyle="1" w:styleId="Manuscripttitle">
    <w:name w:val="Manuscript title"/>
    <w:basedOn w:val="Title"/>
    <w:link w:val="ManuscripttitleChar"/>
    <w:qFormat/>
    <w:rsid w:val="00A423B4"/>
    <w:pPr>
      <w:spacing w:after="240"/>
    </w:pPr>
  </w:style>
  <w:style w:type="character" w:styleId="PlaceholderText">
    <w:name w:val="Placeholder Text"/>
    <w:basedOn w:val="DefaultParagraphFont"/>
    <w:uiPriority w:val="99"/>
    <w:semiHidden/>
    <w:rsid w:val="00A423B4"/>
    <w:rPr>
      <w:color w:val="808080"/>
    </w:rPr>
  </w:style>
  <w:style w:type="character" w:customStyle="1" w:styleId="ManuscripttitleChar">
    <w:name w:val="Manuscript title Char"/>
    <w:basedOn w:val="TitleChar"/>
    <w:link w:val="Manuscripttitle"/>
    <w:rsid w:val="00A423B4"/>
    <w:rPr>
      <w:rFonts w:eastAsiaTheme="minorHAnsi" w:cstheme="minorBidi"/>
      <w:b/>
      <w:bCs/>
      <w:sz w:val="24"/>
      <w:szCs w:val="22"/>
      <w:lang w:val="en-CA"/>
    </w:rPr>
  </w:style>
  <w:style w:type="paragraph" w:customStyle="1" w:styleId="Affiliation">
    <w:name w:val="Affiliation"/>
    <w:basedOn w:val="Normal"/>
    <w:link w:val="AffiliationChar"/>
    <w:qFormat/>
    <w:rsid w:val="00A423B4"/>
    <w:rPr>
      <w:i/>
      <w:iCs/>
    </w:rPr>
  </w:style>
  <w:style w:type="character" w:customStyle="1" w:styleId="googqs-tidbit1">
    <w:name w:val="goog_qs-tidbit1"/>
    <w:basedOn w:val="DefaultParagraphFont"/>
    <w:rsid w:val="00A423B4"/>
    <w:rPr>
      <w:vanish w:val="0"/>
      <w:webHidden w:val="0"/>
      <w:specVanish w:val="0"/>
    </w:rPr>
  </w:style>
  <w:style w:type="character" w:customStyle="1" w:styleId="AffiliationChar">
    <w:name w:val="Affiliation Char"/>
    <w:basedOn w:val="DefaultParagraphFont"/>
    <w:link w:val="Affiliation"/>
    <w:rsid w:val="00A423B4"/>
    <w:rPr>
      <w:rFonts w:eastAsiaTheme="minorHAnsi" w:cstheme="minorBidi"/>
      <w:i/>
      <w:iCs/>
      <w:sz w:val="24"/>
      <w:szCs w:val="22"/>
      <w:lang w:val="en-CA"/>
    </w:rPr>
  </w:style>
  <w:style w:type="paragraph" w:styleId="IntenseQuote">
    <w:name w:val="Intense Quote"/>
    <w:basedOn w:val="Normal"/>
    <w:next w:val="Normal"/>
    <w:link w:val="IntenseQuoteChar"/>
    <w:uiPriority w:val="30"/>
    <w:qFormat/>
    <w:rsid w:val="00A423B4"/>
    <w:pPr>
      <w:spacing w:after="160" w:line="276" w:lineRule="auto"/>
    </w:pPr>
    <w:rPr>
      <w:rFonts w:eastAsia="Calibri" w:cs="Times New Roman"/>
      <w:b/>
      <w:bCs/>
      <w:color w:val="000000" w:themeColor="text1"/>
      <w:lang w:val="en-US"/>
    </w:rPr>
  </w:style>
  <w:style w:type="character" w:customStyle="1" w:styleId="IntenseQuoteChar">
    <w:name w:val="Intense Quote Char"/>
    <w:basedOn w:val="DefaultParagraphFont"/>
    <w:link w:val="IntenseQuote"/>
    <w:uiPriority w:val="30"/>
    <w:rsid w:val="00A423B4"/>
    <w:rPr>
      <w:rFonts w:eastAsia="Calibri"/>
      <w:b/>
      <w:bCs/>
      <w:color w:val="000000" w:themeColor="text1"/>
      <w:sz w:val="24"/>
      <w:szCs w:val="22"/>
    </w:rPr>
  </w:style>
  <w:style w:type="character" w:styleId="SubtleEmphasis">
    <w:name w:val="Subtle Emphasis"/>
    <w:uiPriority w:val="19"/>
    <w:qFormat/>
    <w:rsid w:val="00A423B4"/>
    <w:rPr>
      <w:rFonts w:ascii="Times New Roman" w:hAnsi="Times New Roman" w:cs="Times New Roman"/>
      <w:i/>
      <w:sz w:val="24"/>
      <w:szCs w:val="24"/>
    </w:rPr>
  </w:style>
  <w:style w:type="character" w:customStyle="1" w:styleId="FootnoteTextChar">
    <w:name w:val="Footnote Text Char"/>
    <w:aliases w:val="AG Footnote Text Char"/>
    <w:basedOn w:val="DefaultParagraphFont"/>
    <w:link w:val="FootnoteText"/>
    <w:uiPriority w:val="99"/>
    <w:rsid w:val="00AE5831"/>
    <w:rPr>
      <w:rFonts w:eastAsiaTheme="minorHAnsi" w:cstheme="minorBidi"/>
      <w:lang w:val="en-CA"/>
    </w:rPr>
  </w:style>
  <w:style w:type="character" w:styleId="FootnoteReference">
    <w:name w:val="footnote reference"/>
    <w:basedOn w:val="DefaultParagraphFont"/>
    <w:uiPriority w:val="99"/>
    <w:semiHidden/>
    <w:unhideWhenUsed/>
    <w:rsid w:val="00A423B4"/>
    <w:rPr>
      <w:vertAlign w:val="superscript"/>
    </w:rPr>
  </w:style>
  <w:style w:type="character" w:styleId="LineNumber">
    <w:name w:val="line number"/>
    <w:basedOn w:val="DefaultParagraphFont"/>
    <w:uiPriority w:val="99"/>
    <w:semiHidden/>
    <w:unhideWhenUsed/>
    <w:rsid w:val="005A0D1D"/>
  </w:style>
  <w:style w:type="paragraph" w:customStyle="1" w:styleId="CiteItBibliographyTitle">
    <w:name w:val="CiteIt Bibliography Title"/>
    <w:basedOn w:val="Normal"/>
    <w:link w:val="CiteItBibliographyTitleChar"/>
    <w:autoRedefine/>
    <w:qFormat/>
    <w:rsid w:val="008A55ED"/>
    <w:pPr>
      <w:spacing w:after="0" w:line="240" w:lineRule="auto"/>
      <w:jc w:val="center"/>
    </w:pPr>
    <w:rPr>
      <w:rFonts w:ascii="Arial" w:eastAsia="Times New Roman" w:hAnsi="Arial" w:cs="Arial"/>
      <w:b/>
      <w:bCs/>
      <w:sz w:val="32"/>
      <w:szCs w:val="20"/>
      <w:lang w:val="en-US"/>
    </w:rPr>
  </w:style>
  <w:style w:type="character" w:customStyle="1" w:styleId="CiteItBibliographyTitleChar">
    <w:name w:val="CiteIt Bibliography Title Char"/>
    <w:basedOn w:val="DefaultParagraphFont"/>
    <w:link w:val="CiteItBibliographyTitle"/>
    <w:rsid w:val="008A55ED"/>
    <w:rPr>
      <w:rFonts w:ascii="Arial" w:eastAsia="Times New Roman" w:hAnsi="Arial" w:cs="Arial"/>
      <w:b/>
      <w:bCs/>
      <w:sz w:val="32"/>
    </w:rPr>
  </w:style>
  <w:style w:type="table" w:customStyle="1" w:styleId="TableGrid1">
    <w:name w:val="Table Grid1"/>
    <w:basedOn w:val="TableNormal"/>
    <w:next w:val="TableGrid"/>
    <w:uiPriority w:val="39"/>
    <w:rsid w:val="00503693"/>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24911"/>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C3F33"/>
    <w:rPr>
      <w:rFonts w:asciiTheme="minorHAnsi" w:eastAsiaTheme="minorHAnsi"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823025">
      <w:bodyDiv w:val="1"/>
      <w:marLeft w:val="0"/>
      <w:marRight w:val="0"/>
      <w:marTop w:val="0"/>
      <w:marBottom w:val="0"/>
      <w:divBdr>
        <w:top w:val="none" w:sz="0" w:space="0" w:color="auto"/>
        <w:left w:val="none" w:sz="0" w:space="0" w:color="auto"/>
        <w:bottom w:val="none" w:sz="0" w:space="0" w:color="auto"/>
        <w:right w:val="none" w:sz="0" w:space="0" w:color="auto"/>
      </w:divBdr>
    </w:div>
    <w:div w:id="405306303">
      <w:bodyDiv w:val="1"/>
      <w:marLeft w:val="0"/>
      <w:marRight w:val="0"/>
      <w:marTop w:val="0"/>
      <w:marBottom w:val="0"/>
      <w:divBdr>
        <w:top w:val="none" w:sz="0" w:space="0" w:color="auto"/>
        <w:left w:val="none" w:sz="0" w:space="0" w:color="auto"/>
        <w:bottom w:val="none" w:sz="0" w:space="0" w:color="auto"/>
        <w:right w:val="none" w:sz="0" w:space="0" w:color="auto"/>
      </w:divBdr>
    </w:div>
    <w:div w:id="470172642">
      <w:bodyDiv w:val="1"/>
      <w:marLeft w:val="0"/>
      <w:marRight w:val="0"/>
      <w:marTop w:val="0"/>
      <w:marBottom w:val="0"/>
      <w:divBdr>
        <w:top w:val="none" w:sz="0" w:space="0" w:color="auto"/>
        <w:left w:val="none" w:sz="0" w:space="0" w:color="auto"/>
        <w:bottom w:val="none" w:sz="0" w:space="0" w:color="auto"/>
        <w:right w:val="none" w:sz="0" w:space="0" w:color="auto"/>
      </w:divBdr>
    </w:div>
    <w:div w:id="478351111">
      <w:bodyDiv w:val="1"/>
      <w:marLeft w:val="0"/>
      <w:marRight w:val="0"/>
      <w:marTop w:val="0"/>
      <w:marBottom w:val="0"/>
      <w:divBdr>
        <w:top w:val="none" w:sz="0" w:space="0" w:color="auto"/>
        <w:left w:val="none" w:sz="0" w:space="0" w:color="auto"/>
        <w:bottom w:val="none" w:sz="0" w:space="0" w:color="auto"/>
        <w:right w:val="none" w:sz="0" w:space="0" w:color="auto"/>
      </w:divBdr>
    </w:div>
    <w:div w:id="510797803">
      <w:bodyDiv w:val="1"/>
      <w:marLeft w:val="0"/>
      <w:marRight w:val="0"/>
      <w:marTop w:val="0"/>
      <w:marBottom w:val="0"/>
      <w:divBdr>
        <w:top w:val="none" w:sz="0" w:space="0" w:color="auto"/>
        <w:left w:val="none" w:sz="0" w:space="0" w:color="auto"/>
        <w:bottom w:val="none" w:sz="0" w:space="0" w:color="auto"/>
        <w:right w:val="none" w:sz="0" w:space="0" w:color="auto"/>
      </w:divBdr>
    </w:div>
    <w:div w:id="538782209">
      <w:bodyDiv w:val="1"/>
      <w:marLeft w:val="0"/>
      <w:marRight w:val="0"/>
      <w:marTop w:val="0"/>
      <w:marBottom w:val="0"/>
      <w:divBdr>
        <w:top w:val="none" w:sz="0" w:space="0" w:color="auto"/>
        <w:left w:val="none" w:sz="0" w:space="0" w:color="auto"/>
        <w:bottom w:val="none" w:sz="0" w:space="0" w:color="auto"/>
        <w:right w:val="none" w:sz="0" w:space="0" w:color="auto"/>
      </w:divBdr>
    </w:div>
    <w:div w:id="578638654">
      <w:bodyDiv w:val="1"/>
      <w:marLeft w:val="0"/>
      <w:marRight w:val="0"/>
      <w:marTop w:val="0"/>
      <w:marBottom w:val="0"/>
      <w:divBdr>
        <w:top w:val="none" w:sz="0" w:space="0" w:color="auto"/>
        <w:left w:val="none" w:sz="0" w:space="0" w:color="auto"/>
        <w:bottom w:val="none" w:sz="0" w:space="0" w:color="auto"/>
        <w:right w:val="none" w:sz="0" w:space="0" w:color="auto"/>
      </w:divBdr>
      <w:divsChild>
        <w:div w:id="215362488">
          <w:marLeft w:val="0"/>
          <w:marRight w:val="0"/>
          <w:marTop w:val="0"/>
          <w:marBottom w:val="0"/>
          <w:divBdr>
            <w:top w:val="none" w:sz="0" w:space="0" w:color="auto"/>
            <w:left w:val="none" w:sz="0" w:space="0" w:color="auto"/>
            <w:bottom w:val="none" w:sz="0" w:space="0" w:color="auto"/>
            <w:right w:val="none" w:sz="0" w:space="0" w:color="auto"/>
          </w:divBdr>
        </w:div>
        <w:div w:id="1216353657">
          <w:marLeft w:val="0"/>
          <w:marRight w:val="0"/>
          <w:marTop w:val="0"/>
          <w:marBottom w:val="0"/>
          <w:divBdr>
            <w:top w:val="none" w:sz="0" w:space="0" w:color="auto"/>
            <w:left w:val="none" w:sz="0" w:space="0" w:color="auto"/>
            <w:bottom w:val="none" w:sz="0" w:space="0" w:color="auto"/>
            <w:right w:val="none" w:sz="0" w:space="0" w:color="auto"/>
          </w:divBdr>
        </w:div>
        <w:div w:id="1330328191">
          <w:marLeft w:val="0"/>
          <w:marRight w:val="0"/>
          <w:marTop w:val="0"/>
          <w:marBottom w:val="0"/>
          <w:divBdr>
            <w:top w:val="none" w:sz="0" w:space="0" w:color="auto"/>
            <w:left w:val="none" w:sz="0" w:space="0" w:color="auto"/>
            <w:bottom w:val="none" w:sz="0" w:space="0" w:color="auto"/>
            <w:right w:val="none" w:sz="0" w:space="0" w:color="auto"/>
          </w:divBdr>
        </w:div>
        <w:div w:id="1487092024">
          <w:marLeft w:val="0"/>
          <w:marRight w:val="0"/>
          <w:marTop w:val="0"/>
          <w:marBottom w:val="0"/>
          <w:divBdr>
            <w:top w:val="none" w:sz="0" w:space="0" w:color="auto"/>
            <w:left w:val="none" w:sz="0" w:space="0" w:color="auto"/>
            <w:bottom w:val="none" w:sz="0" w:space="0" w:color="auto"/>
            <w:right w:val="none" w:sz="0" w:space="0" w:color="auto"/>
          </w:divBdr>
        </w:div>
      </w:divsChild>
    </w:div>
    <w:div w:id="743142997">
      <w:bodyDiv w:val="1"/>
      <w:marLeft w:val="0"/>
      <w:marRight w:val="0"/>
      <w:marTop w:val="0"/>
      <w:marBottom w:val="0"/>
      <w:divBdr>
        <w:top w:val="none" w:sz="0" w:space="0" w:color="auto"/>
        <w:left w:val="none" w:sz="0" w:space="0" w:color="auto"/>
        <w:bottom w:val="none" w:sz="0" w:space="0" w:color="auto"/>
        <w:right w:val="none" w:sz="0" w:space="0" w:color="auto"/>
      </w:divBdr>
      <w:divsChild>
        <w:div w:id="54788871">
          <w:marLeft w:val="0"/>
          <w:marRight w:val="0"/>
          <w:marTop w:val="0"/>
          <w:marBottom w:val="0"/>
          <w:divBdr>
            <w:top w:val="none" w:sz="0" w:space="0" w:color="auto"/>
            <w:left w:val="none" w:sz="0" w:space="0" w:color="auto"/>
            <w:bottom w:val="none" w:sz="0" w:space="0" w:color="auto"/>
            <w:right w:val="none" w:sz="0" w:space="0" w:color="auto"/>
          </w:divBdr>
        </w:div>
        <w:div w:id="597759356">
          <w:marLeft w:val="0"/>
          <w:marRight w:val="0"/>
          <w:marTop w:val="0"/>
          <w:marBottom w:val="0"/>
          <w:divBdr>
            <w:top w:val="none" w:sz="0" w:space="0" w:color="auto"/>
            <w:left w:val="none" w:sz="0" w:space="0" w:color="auto"/>
            <w:bottom w:val="none" w:sz="0" w:space="0" w:color="auto"/>
            <w:right w:val="none" w:sz="0" w:space="0" w:color="auto"/>
          </w:divBdr>
        </w:div>
        <w:div w:id="665521003">
          <w:marLeft w:val="0"/>
          <w:marRight w:val="0"/>
          <w:marTop w:val="0"/>
          <w:marBottom w:val="0"/>
          <w:divBdr>
            <w:top w:val="none" w:sz="0" w:space="0" w:color="auto"/>
            <w:left w:val="none" w:sz="0" w:space="0" w:color="auto"/>
            <w:bottom w:val="none" w:sz="0" w:space="0" w:color="auto"/>
            <w:right w:val="none" w:sz="0" w:space="0" w:color="auto"/>
          </w:divBdr>
        </w:div>
        <w:div w:id="965088866">
          <w:marLeft w:val="0"/>
          <w:marRight w:val="0"/>
          <w:marTop w:val="0"/>
          <w:marBottom w:val="0"/>
          <w:divBdr>
            <w:top w:val="none" w:sz="0" w:space="0" w:color="auto"/>
            <w:left w:val="none" w:sz="0" w:space="0" w:color="auto"/>
            <w:bottom w:val="none" w:sz="0" w:space="0" w:color="auto"/>
            <w:right w:val="none" w:sz="0" w:space="0" w:color="auto"/>
          </w:divBdr>
        </w:div>
      </w:divsChild>
    </w:div>
    <w:div w:id="794829688">
      <w:bodyDiv w:val="1"/>
      <w:marLeft w:val="0"/>
      <w:marRight w:val="0"/>
      <w:marTop w:val="0"/>
      <w:marBottom w:val="0"/>
      <w:divBdr>
        <w:top w:val="none" w:sz="0" w:space="0" w:color="auto"/>
        <w:left w:val="none" w:sz="0" w:space="0" w:color="auto"/>
        <w:bottom w:val="none" w:sz="0" w:space="0" w:color="auto"/>
        <w:right w:val="none" w:sz="0" w:space="0" w:color="auto"/>
      </w:divBdr>
    </w:div>
    <w:div w:id="975993311">
      <w:bodyDiv w:val="1"/>
      <w:marLeft w:val="0"/>
      <w:marRight w:val="0"/>
      <w:marTop w:val="0"/>
      <w:marBottom w:val="0"/>
      <w:divBdr>
        <w:top w:val="none" w:sz="0" w:space="0" w:color="auto"/>
        <w:left w:val="none" w:sz="0" w:space="0" w:color="auto"/>
        <w:bottom w:val="none" w:sz="0" w:space="0" w:color="auto"/>
        <w:right w:val="none" w:sz="0" w:space="0" w:color="auto"/>
      </w:divBdr>
    </w:div>
    <w:div w:id="1235385842">
      <w:bodyDiv w:val="1"/>
      <w:marLeft w:val="0"/>
      <w:marRight w:val="0"/>
      <w:marTop w:val="0"/>
      <w:marBottom w:val="0"/>
      <w:divBdr>
        <w:top w:val="none" w:sz="0" w:space="0" w:color="auto"/>
        <w:left w:val="none" w:sz="0" w:space="0" w:color="auto"/>
        <w:bottom w:val="none" w:sz="0" w:space="0" w:color="auto"/>
        <w:right w:val="none" w:sz="0" w:space="0" w:color="auto"/>
      </w:divBdr>
      <w:divsChild>
        <w:div w:id="25369470">
          <w:marLeft w:val="0"/>
          <w:marRight w:val="0"/>
          <w:marTop w:val="0"/>
          <w:marBottom w:val="0"/>
          <w:divBdr>
            <w:top w:val="none" w:sz="0" w:space="0" w:color="auto"/>
            <w:left w:val="none" w:sz="0" w:space="0" w:color="auto"/>
            <w:bottom w:val="none" w:sz="0" w:space="0" w:color="auto"/>
            <w:right w:val="none" w:sz="0" w:space="0" w:color="auto"/>
          </w:divBdr>
        </w:div>
        <w:div w:id="598219548">
          <w:marLeft w:val="0"/>
          <w:marRight w:val="0"/>
          <w:marTop w:val="0"/>
          <w:marBottom w:val="0"/>
          <w:divBdr>
            <w:top w:val="none" w:sz="0" w:space="0" w:color="auto"/>
            <w:left w:val="none" w:sz="0" w:space="0" w:color="auto"/>
            <w:bottom w:val="none" w:sz="0" w:space="0" w:color="auto"/>
            <w:right w:val="none" w:sz="0" w:space="0" w:color="auto"/>
          </w:divBdr>
        </w:div>
        <w:div w:id="1117988085">
          <w:marLeft w:val="0"/>
          <w:marRight w:val="0"/>
          <w:marTop w:val="0"/>
          <w:marBottom w:val="0"/>
          <w:divBdr>
            <w:top w:val="none" w:sz="0" w:space="0" w:color="auto"/>
            <w:left w:val="none" w:sz="0" w:space="0" w:color="auto"/>
            <w:bottom w:val="none" w:sz="0" w:space="0" w:color="auto"/>
            <w:right w:val="none" w:sz="0" w:space="0" w:color="auto"/>
          </w:divBdr>
        </w:div>
        <w:div w:id="1881360728">
          <w:marLeft w:val="0"/>
          <w:marRight w:val="0"/>
          <w:marTop w:val="0"/>
          <w:marBottom w:val="0"/>
          <w:divBdr>
            <w:top w:val="none" w:sz="0" w:space="0" w:color="auto"/>
            <w:left w:val="none" w:sz="0" w:space="0" w:color="auto"/>
            <w:bottom w:val="none" w:sz="0" w:space="0" w:color="auto"/>
            <w:right w:val="none" w:sz="0" w:space="0" w:color="auto"/>
          </w:divBdr>
        </w:div>
      </w:divsChild>
    </w:div>
    <w:div w:id="1252201341">
      <w:bodyDiv w:val="1"/>
      <w:marLeft w:val="0"/>
      <w:marRight w:val="0"/>
      <w:marTop w:val="0"/>
      <w:marBottom w:val="0"/>
      <w:divBdr>
        <w:top w:val="none" w:sz="0" w:space="0" w:color="auto"/>
        <w:left w:val="none" w:sz="0" w:space="0" w:color="auto"/>
        <w:bottom w:val="none" w:sz="0" w:space="0" w:color="auto"/>
        <w:right w:val="none" w:sz="0" w:space="0" w:color="auto"/>
      </w:divBdr>
    </w:div>
    <w:div w:id="1281231456">
      <w:bodyDiv w:val="1"/>
      <w:marLeft w:val="0"/>
      <w:marRight w:val="0"/>
      <w:marTop w:val="0"/>
      <w:marBottom w:val="0"/>
      <w:divBdr>
        <w:top w:val="none" w:sz="0" w:space="0" w:color="auto"/>
        <w:left w:val="none" w:sz="0" w:space="0" w:color="auto"/>
        <w:bottom w:val="none" w:sz="0" w:space="0" w:color="auto"/>
        <w:right w:val="none" w:sz="0" w:space="0" w:color="auto"/>
      </w:divBdr>
    </w:div>
    <w:div w:id="1302926526">
      <w:bodyDiv w:val="1"/>
      <w:marLeft w:val="0"/>
      <w:marRight w:val="0"/>
      <w:marTop w:val="0"/>
      <w:marBottom w:val="0"/>
      <w:divBdr>
        <w:top w:val="none" w:sz="0" w:space="0" w:color="auto"/>
        <w:left w:val="none" w:sz="0" w:space="0" w:color="auto"/>
        <w:bottom w:val="none" w:sz="0" w:space="0" w:color="auto"/>
        <w:right w:val="none" w:sz="0" w:space="0" w:color="auto"/>
      </w:divBdr>
    </w:div>
    <w:div w:id="1452086537">
      <w:bodyDiv w:val="1"/>
      <w:marLeft w:val="0"/>
      <w:marRight w:val="0"/>
      <w:marTop w:val="0"/>
      <w:marBottom w:val="0"/>
      <w:divBdr>
        <w:top w:val="none" w:sz="0" w:space="0" w:color="auto"/>
        <w:left w:val="none" w:sz="0" w:space="0" w:color="auto"/>
        <w:bottom w:val="none" w:sz="0" w:space="0" w:color="auto"/>
        <w:right w:val="none" w:sz="0" w:space="0" w:color="auto"/>
      </w:divBdr>
    </w:div>
    <w:div w:id="1536575177">
      <w:bodyDiv w:val="1"/>
      <w:marLeft w:val="0"/>
      <w:marRight w:val="0"/>
      <w:marTop w:val="0"/>
      <w:marBottom w:val="0"/>
      <w:divBdr>
        <w:top w:val="none" w:sz="0" w:space="0" w:color="auto"/>
        <w:left w:val="none" w:sz="0" w:space="0" w:color="auto"/>
        <w:bottom w:val="none" w:sz="0" w:space="0" w:color="auto"/>
        <w:right w:val="none" w:sz="0" w:space="0" w:color="auto"/>
      </w:divBdr>
      <w:divsChild>
        <w:div w:id="444546110">
          <w:marLeft w:val="0"/>
          <w:marRight w:val="0"/>
          <w:marTop w:val="0"/>
          <w:marBottom w:val="0"/>
          <w:divBdr>
            <w:top w:val="none" w:sz="0" w:space="0" w:color="auto"/>
            <w:left w:val="none" w:sz="0" w:space="0" w:color="auto"/>
            <w:bottom w:val="none" w:sz="0" w:space="0" w:color="auto"/>
            <w:right w:val="none" w:sz="0" w:space="0" w:color="auto"/>
          </w:divBdr>
        </w:div>
        <w:div w:id="527375524">
          <w:marLeft w:val="0"/>
          <w:marRight w:val="0"/>
          <w:marTop w:val="0"/>
          <w:marBottom w:val="0"/>
          <w:divBdr>
            <w:top w:val="none" w:sz="0" w:space="0" w:color="auto"/>
            <w:left w:val="none" w:sz="0" w:space="0" w:color="auto"/>
            <w:bottom w:val="none" w:sz="0" w:space="0" w:color="auto"/>
            <w:right w:val="none" w:sz="0" w:space="0" w:color="auto"/>
          </w:divBdr>
        </w:div>
        <w:div w:id="998846481">
          <w:marLeft w:val="0"/>
          <w:marRight w:val="0"/>
          <w:marTop w:val="0"/>
          <w:marBottom w:val="0"/>
          <w:divBdr>
            <w:top w:val="none" w:sz="0" w:space="0" w:color="auto"/>
            <w:left w:val="none" w:sz="0" w:space="0" w:color="auto"/>
            <w:bottom w:val="none" w:sz="0" w:space="0" w:color="auto"/>
            <w:right w:val="none" w:sz="0" w:space="0" w:color="auto"/>
          </w:divBdr>
        </w:div>
        <w:div w:id="2055150775">
          <w:marLeft w:val="0"/>
          <w:marRight w:val="0"/>
          <w:marTop w:val="0"/>
          <w:marBottom w:val="0"/>
          <w:divBdr>
            <w:top w:val="none" w:sz="0" w:space="0" w:color="auto"/>
            <w:left w:val="none" w:sz="0" w:space="0" w:color="auto"/>
            <w:bottom w:val="none" w:sz="0" w:space="0" w:color="auto"/>
            <w:right w:val="none" w:sz="0" w:space="0" w:color="auto"/>
          </w:divBdr>
        </w:div>
      </w:divsChild>
    </w:div>
    <w:div w:id="1538271090">
      <w:bodyDiv w:val="1"/>
      <w:marLeft w:val="0"/>
      <w:marRight w:val="0"/>
      <w:marTop w:val="0"/>
      <w:marBottom w:val="0"/>
      <w:divBdr>
        <w:top w:val="none" w:sz="0" w:space="0" w:color="auto"/>
        <w:left w:val="none" w:sz="0" w:space="0" w:color="auto"/>
        <w:bottom w:val="none" w:sz="0" w:space="0" w:color="auto"/>
        <w:right w:val="none" w:sz="0" w:space="0" w:color="auto"/>
      </w:divBdr>
    </w:div>
    <w:div w:id="1601452844">
      <w:bodyDiv w:val="1"/>
      <w:marLeft w:val="0"/>
      <w:marRight w:val="0"/>
      <w:marTop w:val="0"/>
      <w:marBottom w:val="0"/>
      <w:divBdr>
        <w:top w:val="none" w:sz="0" w:space="0" w:color="auto"/>
        <w:left w:val="none" w:sz="0" w:space="0" w:color="auto"/>
        <w:bottom w:val="none" w:sz="0" w:space="0" w:color="auto"/>
        <w:right w:val="none" w:sz="0" w:space="0" w:color="auto"/>
      </w:divBdr>
    </w:div>
    <w:div w:id="1721903636">
      <w:bodyDiv w:val="1"/>
      <w:marLeft w:val="0"/>
      <w:marRight w:val="0"/>
      <w:marTop w:val="0"/>
      <w:marBottom w:val="0"/>
      <w:divBdr>
        <w:top w:val="none" w:sz="0" w:space="0" w:color="auto"/>
        <w:left w:val="none" w:sz="0" w:space="0" w:color="auto"/>
        <w:bottom w:val="none" w:sz="0" w:space="0" w:color="auto"/>
        <w:right w:val="none" w:sz="0" w:space="0" w:color="auto"/>
      </w:divBdr>
    </w:div>
    <w:div w:id="1924341035">
      <w:bodyDiv w:val="1"/>
      <w:marLeft w:val="0"/>
      <w:marRight w:val="0"/>
      <w:marTop w:val="0"/>
      <w:marBottom w:val="0"/>
      <w:divBdr>
        <w:top w:val="none" w:sz="0" w:space="0" w:color="auto"/>
        <w:left w:val="none" w:sz="0" w:space="0" w:color="auto"/>
        <w:bottom w:val="none" w:sz="0" w:space="0" w:color="auto"/>
        <w:right w:val="none" w:sz="0" w:space="0" w:color="auto"/>
      </w:divBdr>
    </w:div>
    <w:div w:id="1965454138">
      <w:bodyDiv w:val="1"/>
      <w:marLeft w:val="0"/>
      <w:marRight w:val="0"/>
      <w:marTop w:val="0"/>
      <w:marBottom w:val="0"/>
      <w:divBdr>
        <w:top w:val="none" w:sz="0" w:space="0" w:color="auto"/>
        <w:left w:val="none" w:sz="0" w:space="0" w:color="auto"/>
        <w:bottom w:val="none" w:sz="0" w:space="0" w:color="auto"/>
        <w:right w:val="none" w:sz="0" w:space="0" w:color="auto"/>
      </w:divBdr>
    </w:div>
    <w:div w:id="2049186975">
      <w:bodyDiv w:val="1"/>
      <w:marLeft w:val="0"/>
      <w:marRight w:val="0"/>
      <w:marTop w:val="0"/>
      <w:marBottom w:val="0"/>
      <w:divBdr>
        <w:top w:val="none" w:sz="0" w:space="0" w:color="auto"/>
        <w:left w:val="none" w:sz="0" w:space="0" w:color="auto"/>
        <w:bottom w:val="none" w:sz="0" w:space="0" w:color="auto"/>
        <w:right w:val="none" w:sz="0" w:space="0" w:color="auto"/>
      </w:divBdr>
    </w:div>
    <w:div w:id="2093579373">
      <w:bodyDiv w:val="1"/>
      <w:marLeft w:val="0"/>
      <w:marRight w:val="0"/>
      <w:marTop w:val="0"/>
      <w:marBottom w:val="0"/>
      <w:divBdr>
        <w:top w:val="none" w:sz="0" w:space="0" w:color="auto"/>
        <w:left w:val="none" w:sz="0" w:space="0" w:color="auto"/>
        <w:bottom w:val="none" w:sz="0" w:space="0" w:color="auto"/>
        <w:right w:val="none" w:sz="0" w:space="0" w:color="auto"/>
      </w:divBdr>
    </w:div>
    <w:div w:id="2131705931">
      <w:bodyDiv w:val="1"/>
      <w:marLeft w:val="0"/>
      <w:marRight w:val="0"/>
      <w:marTop w:val="0"/>
      <w:marBottom w:val="0"/>
      <w:divBdr>
        <w:top w:val="none" w:sz="0" w:space="0" w:color="auto"/>
        <w:left w:val="none" w:sz="0" w:space="0" w:color="auto"/>
        <w:bottom w:val="none" w:sz="0" w:space="0" w:color="auto"/>
        <w:right w:val="none" w:sz="0" w:space="0" w:color="auto"/>
      </w:divBdr>
    </w:div>
    <w:div w:id="21448089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DEFAULT.xsl" StyleName="Unknown" Version="2006">
  <b:Source>
    <b:Tag>dacb11df-6551-42c5-96fa-26f880e6b03d</b:Tag>
    <b:RefOrder>0</b:RefOrder>
    <b:SourceType>JournalArticle</b:SourceType>
    <b:Year>2020</b:Year>
    <b:Author>
      <b:Author>
        <b:NameList>
          <b:Person>
            <b:First>Ana</b:First>
            <b:Last>Lleo</b:Last>
          </b:Person>
          <b:Person>
            <b:First>Giu-Qiang</b:First>
            <b:Last>Wang</b:Last>
          </b:Person>
          <b:Person>
            <b:First>Merrill Eric</b:First>
            <b:Last>Gershwin</b:Last>
          </b:Person>
          <b:Person>
            <b:First>Gideon M</b:First>
            <b:Last>Hirschfield</b:Last>
          </b:Person>
        </b:NameList>
      </b:Author>
    </b:Author>
    <b:Pages>1915-1926</b:Pages>
    <b:Volume>396</b:Volume>
    <b:StandardNumber>10266</b:StandardNumber>
    <b:Title>Primary biliary cholangitis</b:Title>
    <b:JournalName>The Lancet</b:JournalName>
  </b:Source>
  <b:Source>
    <b:Tag>f11718c7-fcc3-4315-ae81-010a386c82c8</b:Tag>
    <b:RefOrder>1</b:RefOrder>
    <b:SourceType>JournalArticle</b:SourceType>
    <b:Year>2024</b:Year>
    <b:Author>
      <b:Author>
        <b:NameList>
          <b:Person>
            <b:Last>Asma Faisal</b:Last>
          </b:Person>
        </b:NameList>
      </b:Author>
    </b:Author>
    <b:Pages>1-11</b:Pages>
    <b:Volume>23</b:Volume>
    <b:StandardNumber>1</b:StandardNumber>
    <b:DOI>10.1097/CLD.0000000000000216</b:DOI>
    <b:Title>Understanding fatigue and pruritus in primary biliary cholangitis</b:Title>
    <b:JournalName>Clinical Liver Disease</b:JournalName>
  </b:Source>
  <b:Source>
    <b:Tag>9a0534f3-d2b0-4ae8-8caf-4ef434eabb9b</b:Tag>
    <b:RefOrder>2</b:RefOrder>
    <b:SourceType>JournalArticle</b:SourceType>
    <b:Year>2017</b:Year>
    <b:Author>
      <b:Author>
        <b:NameList>
          <b:Person>
            <b:First>easloffice easloffice eu</b:First>
            <b:Last>European Association for the Study of the Liver. Electronic address</b:Last>
          </b:Person>
          <b:Person>
            <b:First>Liver</b:First>
            <b:Last>European Association for the Study of the</b:Last>
          </b:Person>
        </b:NameList>
      </b:Author>
    </b:Author>
    <b:Pages>145-172</b:Pages>
    <b:Volume>67</b:Volume>
    <b:StandardNumber>1</b:StandardNumber>
    <b:Month>Jul</b:Month>
    <b:DOI>10.1016/j.jhep.2017.03.022</b:DOI>
    <b:Title>EASL Clinical Practice Guidelines: The diagnosis and management of patients with primary biliary cholangitis</b:Title>
    <b:JournalName>J Hepatol</b:JournalName>
    <b:URL>https://www.ncbi.nlm.nih.gov/pubmed/28427765</b:URL>
    <b:Day>18</b:Day>
  </b:Source>
  <b:Source>
    <b:Tag>2fba27dd-13be-4c0c-b914-d923aa79a89d</b:Tag>
    <b:RefOrder>3</b:RefOrder>
    <b:SourceType>JournalArticle</b:SourceType>
    <b:Year>2021</b:Year>
    <b:Author>
      <b:Author>
        <b:NameList>
          <b:Person>
            <b:First>T.</b:First>
            <b:Last>Lv</b:Last>
          </b:Person>
          <b:Person>
            <b:First>S.</b:First>
            <b:Last>Chen</b:Last>
          </b:Person>
          <b:Person>
            <b:First>M.</b:First>
            <b:Last>Li</b:Last>
          </b:Person>
          <b:Person>
            <b:First>D.</b:First>
            <b:Last>Zhang</b:Last>
          </b:Person>
          <b:Person>
            <b:First>Y.</b:First>
            <b:Last>Kong</b:Last>
          </b:Person>
          <b:Person>
            <b:First>J.</b:First>
            <b:Last>Jia</b:Last>
          </b:Person>
        </b:NameList>
      </b:Author>
    </b:Author>
    <b:PlacePublished>Liver Research Center, Beijing Friendship Hospital, Capital Medical University; Beijing Key Laboratory of Translational Medicine on Liver Cirrhosis; National Clinical Research Center for Digestive Disease, Beijing, China. Clinical Epidemiology and EBM Unit, National Clinical Research Center for Digestive Disease, Beijing Friendship Hospital, Capital Medical University, Beijing, China. Experimental and Translational Research Center, Beijing Friendship Hospital, Capital Medical University; Beijing Clinical Research Institute; Beijing Key Laboratory of Tolerance Induction and Organ Protection in Transplantation, Beijing, China.</b:PlacePublished>
    <b:Pages>1423-1434</b:Pages>
    <b:Volume>36</b:Volume>
    <b:StandardNumber>6</b:StandardNumber>
    <b:Month>Jun</b:Month>
    <b:DOI>10.1111/jgh.15329</b:DOI>
    <b:Title>Regional variation and temporal trend of primary biliary cholangitis epidemiology: A systematic review and meta-analysis</b:Title>
    <b:JournalName>J Gastroenterol Hepatol</b:JournalName>
    <b:URL>https://www.ncbi.nlm.nih.gov/pubmed/33141955</b:URL>
    <b:Day>6</b:Day>
  </b:Source>
  <b:Source>
    <b:Tag>06721876-f730-4427-9ecd-ea2afc55ecbc</b:Tag>
    <b:RefOrder>4</b:RefOrder>
    <b:SourceType>JournalArticle</b:SourceType>
    <b:Year>2020</b:Year>
    <b:Author>
      <b:Author>
        <b:NameList>
          <b:Person>
            <b:First>A.</b:First>
            <b:Last>Galoosian</b:Last>
          </b:Person>
          <b:Person>
            <b:First>C.</b:First>
            <b:Last>Hanlon</b:Last>
          </b:Person>
          <b:Person>
            <b:First>J.</b:First>
            <b:Last>Zhang</b:Last>
          </b:Person>
          <b:Person>
            <b:First>E. W.</b:First>
            <b:Last>Holt</b:Last>
          </b:Person>
          <b:Person>
            <b:First>K. K.</b:First>
            <b:Last>Yimam</b:Last>
          </b:Person>
        </b:NameList>
      </b:Author>
    </b:Author>
    <b:PlacePublished>Department of Medicine, California Pacific Medical Center, San Francisco, CA, USA. Department of Medicine, University of Southern California Keck School of Medicine, Los Angeles, CA, USA. Department of Transplant, Division of Hepatology, California Pacific Medical Center, San Francisco, CA, USA. Director of the Autoimmune Liver Disease Program, Department of Transplant, Division of Hepatology, California Pacific Medical Center, San Francisco, CA, USA.</b:PlacePublished>
    <b:Pages>49-60</b:Pages>
    <b:Volume>8</b:Volume>
    <b:StandardNumber>1</b:StandardNumber>
    <b:Day>29</b:Day>
    <b:Month>1</b:Month>
    <b:DOI>10.14218/JCTH.2019.00049</b:DOI>
    <b:Title>Clinical Updates in Primary Biliary Cholangitis: Trends, Epidemiology, Diagnostics, and New Therapeutic Approaches</b:Title>
    <b:JournalName>J Clin Transl Hepatol</b:JournalName>
    <b:URL>https://www.ncbi.nlm.nih.gov/pubmed/32274345</b:URL>
  </b:Source>
  <b:Source>
    <b:Tag>8cf90e05-019c-4509-bbd5-f788d715616d</b:Tag>
    <b:RefOrder>5</b:RefOrder>
    <b:SourceType>JournalArticle</b:SourceType>
    <b:Year>2012</b:Year>
    <b:Author>
      <b:Author>
        <b:NameList>
          <b:Person>
            <b:First>H. E.</b:First>
            <b:Last>Jung</b:Last>
          </b:Person>
          <b:Person>
            <b:First>J. Y.</b:First>
            <b:Last>Jang</b:Last>
          </b:Person>
          <b:Person>
            <b:First>S. W.</b:First>
            <b:Last>Jeong</b:Last>
          </b:Person>
          <b:Person>
            <b:First>J. N.</b:First>
            <b:Last>Kim</b:Last>
          </b:Person>
          <b:Person>
            <b:First>H. Y.</b:First>
            <b:Last>Jang</b:Last>
          </b:Person>
          <b:Person>
            <b:First>Y. J.</b:First>
            <b:Last>Cho</b:Last>
          </b:Person>
          <b:Person>
            <b:First>S. A.</b:First>
            <b:Last>Woo</b:Last>
          </b:Person>
          <b:Person>
            <b:First>S. H.</b:First>
            <b:Last>Lee</b:Last>
          </b:Person>
          <b:Person>
            <b:First>S. G.</b:First>
            <b:Last>Kim</b:Last>
          </b:Person>
          <b:Person>
            <b:First>S. W.</b:First>
            <b:Last>Cha</b:Last>
          </b:Person>
          <b:Person>
            <b:First>Y. S.</b:First>
            <b:Last>Kim</b:Last>
          </b:Person>
          <b:Person>
            <b:First>Y. D.</b:First>
            <b:Last>Cho</b:Last>
          </b:Person>
          <b:Person>
            <b:First>H. S.</b:First>
            <b:Last>Kim</b:Last>
          </b:Person>
          <b:Person>
            <b:First>B. S.</b:First>
            <b:Last>Kim</b:Last>
          </b:Person>
        </b:NameList>
      </b:Author>
    </b:Author>
    <b:PlacePublished>Institute for Digestive Research, Digestive Disease Center, Department of Internal Medicine, Soonchunhyang University College of Medicine, Seoul, Korea.</b:PlacePublished>
    <b:Pages>375-82</b:Pages>
    <b:Volume>18</b:Volume>
    <b:StandardNumber>4</b:StandardNumber>
    <b:Month>Dec</b:Month>
    <b:DOI>10.3350/cmh.2012.18.4.375</b:DOI>
    <b:Title>Prognostic indicators in primary biliary cirrhosis: significance of revised IAHG (International Autoimmune Hepatitis Group) score</b:Title>
    <b:JournalName>Clin Mol Hepatol</b:JournalName>
    <b:URL>https://www.ncbi.nlm.nih.gov/pubmed/23323253</b:URL>
    <b:Day>21</b:Day>
  </b:Source>
  <b:Source>
    <b:Tag>ed403416-941c-48cc-902a-df5824be806a</b:Tag>
    <b:RefOrder>6</b:RefOrder>
    <b:SourceType>JournalArticle</b:SourceType>
    <b:Year>2006</b:Year>
    <b:Author>
      <b:Author>
        <b:NameList>
          <b:Person>
            <b:First>M.</b:First>
            <b:Last>Koulentaki</b:Last>
          </b:Person>
          <b:Person>
            <b:First>D.</b:First>
            <b:Last>Ioannidou</b:Last>
          </b:Person>
          <b:Person>
            <b:First>M.</b:First>
            <b:Last>Stefanidou</b:Last>
          </b:Person>
          <b:Person>
            <b:First>S.</b:First>
            <b:Last>Maraki</b:Last>
          </b:Person>
          <b:Person>
            <b:First>I.</b:First>
            <b:Last>Drigiannakis</b:Last>
          </b:Person>
          <b:Person>
            <b:First>P.</b:First>
            <b:Last>Dimoulios</b:Last>
          </b:Person>
          <b:Person>
            <b:First>J. M.</b:First>
            <b:Last>Melono</b:Last>
          </b:Person>
          <b:Person>
            <b:First>A.</b:First>
            <b:Last>Tosca</b:Last>
          </b:Person>
          <b:Person>
            <b:First>E. A.</b:First>
            <b:Last>Kouroumalis</b:Last>
          </b:Person>
        </b:NameList>
      </b:Author>
    </b:Author>
    <b:PlacePublished>Department of Gastroenterology, University Hospital Heraklion, PO Box 1352, 71110 Heraklion, Crete, Greece.</b:PlacePublished>
    <b:Pages>541-6</b:Pages>
    <b:Volume>101</b:Volume>
    <b:StandardNumber>3</b:StandardNumber>
    <b:Month>Mar</b:Month>
    <b:DOI>10.1111/j.1572-0241.2006.00423.x</b:DOI>
    <b:Title>Dermatological manifestations in primary biliary cirrhosis patients: a case control study</b:Title>
    <b:JournalName>Am J Gastroenterol</b:JournalName>
    <b:URL>https://www.ncbi.nlm.nih.gov/pubmed/16464228</b:URL>
    <b:Day>8</b:Day>
  </b:Source>
  <b:Source>
    <b:Tag>c219f77d-883c-4c76-aa3d-a38ff148cab8</b:Tag>
    <b:RefOrder>7</b:RefOrder>
    <b:SourceType>JournalArticle</b:SourceType>
    <b:Year>2020</b:Year>
    <b:Author>
      <b:Author>
        <b:NameList>
          <b:Person>
            <b:First>T.</b:First>
            <b:Last>Milovanovic</b:Last>
          </b:Person>
          <b:Person>
            <b:First>D.</b:First>
            <b:Last>Popovic</b:Last>
          </b:Person>
          <b:Person>
            <b:First>M.</b:First>
            <b:Last>Stojkovic Lalosevic</b:Last>
          </b:Person>
          <b:Person>
            <b:First>I.</b:First>
            <b:Last>Dumic</b:Last>
          </b:Person>
          <b:Person>
            <b:First>S.</b:First>
            <b:Last>Dragasevic</b:Last>
          </b:Person>
          <b:Person>
            <b:First>T.</b:First>
            <b:Last>Milosavljevic</b:Last>
          </b:Person>
        </b:NameList>
      </b:Author>
    </b:Author>
    <b:PlacePublished>School of Medicine, University of Belgrade, Belgrade, Serbia, tamara.alempijevic@med.bg.ac.rs. Clinic for Gastroenterology and Hepatology, Clinical Center of Serbia, Belgrade, Serbia, tamara.alempijevic@med.bg.ac.rs. School of Medicine, University of Belgrade, Belgrade, Serbia. Clinic for Gastroenterology and Hepatology, Clinical Center of Serbia, Belgrade, Serbia. Mayo Clinic College of Medicine, Rochester, Minnesota, USA. Euromedic Hospital Belgrade, Belgrade, Serbia.</b:PlacePublished>
    <b:Pages>515-521</b:Pages>
    <b:Volume>38</b:Volume>
    <b:StandardNumber>6</b:StandardNumber>
    <b:DOI>10.1159/000506980</b:DOI>
    <b:Title>Quality of Life in Patients with Primary Biliary Cholangitis: A Single-Center Experience in Serbia</b:Title>
    <b:JournalName>Dig Dis</b:JournalName>
    <b:URL>https://www.ncbi.nlm.nih.gov/pubmed/32135537</b:URL>
    <b:Day>6</b:Day>
    <b:Month>3</b:Month>
  </b:Source>
  <b:Source>
    <b:Tag>fce009c0-5063-42b9-94f5-12351a5a0da3</b:Tag>
    <b:RefOrder>8</b:RefOrder>
    <b:SourceType>JournalArticle</b:SourceType>
    <b:Year>2018</b:Year>
    <b:Author>
      <b:Author>
        <b:NameList>
          <b:Person>
            <b:First>S.</b:First>
            <b:Last>Oeda</b:Last>
          </b:Person>
          <b:Person>
            <b:First>H.</b:First>
            <b:Last>Takahashi</b:Last>
          </b:Person>
          <b:Person>
            <b:First>H.</b:First>
            <b:Last>Yoshida</b:Last>
          </b:Person>
          <b:Person>
            <b:First>Y.</b:First>
            <b:Last>Ogawa</b:Last>
          </b:Person>
          <b:Person>
            <b:First>K.</b:First>
            <b:Last>Imajo</b:Last>
          </b:Person>
          <b:Person>
            <b:First>M.</b:First>
            <b:Last>Yoneda</b:Last>
          </b:Person>
          <b:Person>
            <b:First>Y.</b:First>
            <b:Last>Koshiyama</b:Last>
          </b:Person>
          <b:Person>
            <b:First>M.</b:First>
            <b:Last>Ono</b:Last>
          </b:Person>
          <b:Person>
            <b:First>H.</b:First>
            <b:Last>Hyogo</b:Last>
          </b:Person>
          <b:Person>
            <b:First>T.</b:First>
            <b:Last>Kawaguchi</b:Last>
          </b:Person>
          <b:Person>
            <b:First>H.</b:First>
            <b:Last>Fujii</b:Last>
          </b:Person>
          <b:Person>
            <b:First>K.</b:First>
            <b:Last>Nishino</b:Last>
          </b:Person>
          <b:Person>
            <b:First>Y.</b:First>
            <b:Last>Sumida</b:Last>
          </b:Person>
          <b:Person>
            <b:First>S.</b:First>
            <b:Last>Tanaka</b:Last>
          </b:Person>
          <b:Person>
            <b:First>M.</b:First>
            <b:Last>Kawanaka</b:Last>
          </b:Person>
          <b:Person>
            <b:First>T.</b:First>
            <b:Last>Torimura</b:Last>
          </b:Person>
          <b:Person>
            <b:First>T.</b:First>
            <b:Last>Saibara</b:Last>
          </b:Person>
          <b:Person>
            <b:First>A.</b:First>
            <b:Last>Kawaguchi</b:Last>
          </b:Person>
          <b:Person>
            <b:First>A.</b:First>
            <b:Last>Nakajima</b:Last>
          </b:Person>
          <b:Person>
            <b:First>Y.</b:First>
            <b:Last>Eguchi</b:Last>
          </b:Person>
          <b:Person>
            <b:First>Disease</b:First>
            <b:Last>Japan Study Group of Nonalcoholic Fatty Liver</b:Last>
          </b:Person>
        </b:NameList>
      </b:Author>
    </b:Author>
    <b:PlacePublished>Liver Center, Saga University Hospital, Saga, Japan. Department of Internal Medicine, Faculty of Medicine, Saga University, Saga, Japan. Clinical Research Center, Saga University Hospital, Saga, Japan. Department of Gastroenterology and Hepatology, Yokohama City University Graduate School of Medicine, Kanagawa, Japan. Department of Gastroenterology and Hepatology, Kochi Medical School, Kochi, Japan. Department of Gastroenterology and Hepatology, JA Hiroshima General Hospital, Hiroshima, Japan. Division of Gastroenterology, Department of Medicine, Kurume University School of Medicine, Fukuoka, Japan. Department of Gastroenterology and Hepatology, Osaka City Juso Hospital, Osaka, Japan. Department of Hepatology, Graduate School of Medicine, Osaka City University, Osaka, Japan. Department of General Internal Medicine 2, General Medical Center, Kawasaki Medical School, Okayama, Japan. Department of Gastroenterology and Hepatology, Kyoto Prefectural University of Medicine, Kyoto, Japan. Division of Hepatology and Pancreatology, Department of Internal Medicine, Aichi Medical University, Aichi, Japan. Center for Digestive and Liver Diseases, Nara City Hospital, Nara, Japan. Section of Clinical Cooperation System, Center for Comprehensive Community Medicine, Faculty of Medicine, Saga University, Saga, Japan.</b:PlacePublished>
    <b:Pages>E252-E262</b:Pages>
    <b:Volume>48</b:Volume>
    <b:StandardNumber>3</b:StandardNumber>
    <b:Month>Feb</b:Month>
    <b:DOI>10.1111/hepr.12978</b:DOI>
    <b:Title>Prevalence of pruritus in patients with chronic liver disease: A multicenter study</b:Title>
    <b:JournalName>Hepatol Res</b:JournalName>
    <b:URL>https://www.ncbi.nlm.nih.gov/pubmed/28877392</b:URL>
    <b:Day>10</b:Day>
  </b:Source>
  <b:Source>
    <b:Tag>96773eac-ae0b-4447-bd74-c6c1012ec157</b:Tag>
    <b:RefOrder>9</b:RefOrder>
    <b:SourceType>JournalArticle</b:SourceType>
    <b:Year>2018</b:Year>
    <b:Author>
      <b:Author>
        <b:NameList>
          <b:Person>
            <b:First>C.</b:First>
            <b:Last>Levy</b:Last>
          </b:Person>
          <b:Person>
            <b:First>C. L.</b:First>
            <b:Last>Bowlus</b:Last>
          </b:Person>
          <b:Person>
            <b:First>E.</b:First>
            <b:Last>Carey</b:Last>
          </b:Person>
          <b:Person>
            <b:First>J. M.</b:First>
            <b:Last>Crawford</b:Last>
          </b:Person>
          <b:Person>
            <b:First>K.</b:First>
            <b:Last>Deane</b:Last>
          </b:Person>
          <b:Person>
            <b:First>M. J.</b:First>
            <b:Last>Mayo</b:Last>
          </b:Person>
          <b:Person>
            <b:First>W. R.</b:First>
            <b:Last>Kim</b:Last>
          </b:Person>
          <b:Person>
            <b:First>M. W.</b:First>
            <b:Last>Fried</b:Last>
          </b:Person>
        </b:NameList>
      </b:Author>
    </b:Author>
    <b:PlacePublished>Department of Medicine University of Miami Miami FL. University of California Davis Davis CA. Department of Transplantation Mayo Clinic Phoenix AZ. TARGET PharmaSolutions, Inc. Chapel Hill NC. University of Texas Southwestern Medical Center Dallas TX. Stanford University Stanford CA. University of North Carolina Chapel Hill NC.</b:PlacePublished>
    <b:Pages>484-491</b:Pages>
    <b:Volume>2</b:Volume>
    <b:StandardNumber>5</b:StandardNumber>
    <b:Month>May</b:Month>
    <b:DOI>10.1002/hep4.1173</b:DOI>
    <b:Title>A real-world observational cohort of patients with primary biliary cholangitis: TARGET-primary biliary cholangitis study design and rationale</b:Title>
    <b:JournalName>Hepatol Commun</b:JournalName>
    <b:URL>https://www.ncbi.nlm.nih.gov/pubmed/29761165</b:URL>
    <b:Day>23</b:Day>
  </b:Source>
  <b:Source>
    <b:Tag>dabdc257-9729-458c-a59a-ad3e86333d38</b:Tag>
    <b:RefOrder>10</b:RefOrder>
    <b:SourceType>JournalArticle</b:SourceType>
    <b:Year>2018</b:Year>
    <b:Author>
      <b:Author>
        <b:NameList>
          <b:Person>
            <b:First>M.</b:First>
            <b:Last>Lu</b:Last>
          </b:Person>
          <b:Person>
            <b:First>Y.</b:First>
            <b:Last>Zhou</b:Last>
          </b:Person>
          <b:Person>
            <b:First>I. V.</b:First>
            <b:Last>Haller</b:Last>
          </b:Person>
          <b:Person>
            <b:First>R. J.</b:First>
            <b:Last>Romanelli</b:Last>
          </b:Person>
          <b:Person>
            <b:First>J. J.</b:First>
            <b:Last>VanWormer</b:Last>
          </b:Person>
          <b:Person>
            <b:First>C. V.</b:First>
            <b:Last>Rodriguez</b:Last>
          </b:Person>
          <b:Person>
            <b:First>H.</b:First>
            <b:Last>Anderson</b:Last>
          </b:Person>
          <b:Person>
            <b:First>J. A.</b:First>
            <b:Last>Boscarino</b:Last>
          </b:Person>
          <b:Person>
            <b:First>M. A.</b:First>
            <b:Last>Schmidt</b:Last>
          </b:Person>
          <b:Person>
            <b:First>Y. G.</b:First>
            <b:Last>Daida</b:Last>
          </b:Person>
          <b:Person>
            <b:First>A.</b:First>
            <b:Last>Sahota</b:Last>
          </b:Person>
          <b:Person>
            <b:First>J.</b:First>
            <b:Last>Vincent</b:Last>
          </b:Person>
          <b:Person>
            <b:First>C. L.</b:First>
            <b:Last>Bowlus</b:Last>
          </b:Person>
          <b:Person>
            <b:First>K.</b:First>
            <b:Last>Lindor</b:Last>
          </b:Person>
          <b:Person>
            <b:First>T.</b:First>
            <b:Last>Zhang</b:Last>
          </b:Person>
          <b:Person>
            <b:First>S.</b:First>
            <b:Last>Trudeau</b:Last>
          </b:Person>
          <b:Person>
            <b:First>J.</b:First>
            <b:Last>Li</b:Last>
          </b:Person>
          <b:Person>
            <b:First>L. B.</b:First>
            <b:Last>Rupp</b:Last>
          </b:Person>
          <b:Person>
            <b:First>S. C.</b:First>
            <b:Last>Gordon</b:Last>
          </b:Person>
          <b:Person>
            <b:First>Investigators</b:First>
            <b:Last>Fibrotic Liver Disease Consortium</b:Last>
          </b:Person>
        </b:NameList>
      </b:Author>
    </b:Author>
    <b:PlacePublished>Department of Public Health Sciences, Henry Ford Health System, Detroit, Michigan. Electronic address: mlu1@hfhs.org. Department of Public Health Sciences, Henry Ford Health System, Detroit, Michigan. Essentia Institute of Rural Health, Essentia Health, Duluth, Minnesota. Palo Alto Medical Foundation Research Institute, Palo Alto, California. Marshfield Clinic Research Foundation, Marshfield, Wisconsin. Center for Health Research, Kaiser Permanente Mid-Atlantic Research Institute, Rockville, Maryland. Skaggs School of Pharmacy and Pharmaceutical Sciences, University of Colorado, Aurora, Colorado. Department of Epidemiology and Health Services Research, Geisinger Clinic, Danville, Pennsylvania. Center for Health Research, Kaiser Permanente Northwest, Portland, Oregon. Center for Health Research Hawai'i, Kaiser Permanente, Honolulu, Hawaii. Department of Research and Evaluation, Kaiser Permanente Southern California, Los Angeles, California. Baylor, Scott and White Research Institute, Temple, Texas. University of California Davis School of Medicine, Sacramento, California. College of Health Solutions, Arizona State University, Phoenix, Arizona. Center for Health Policy and Health Services Research, Henry Ford Health System, Detroit, Michigan. Department of Gastroenterology and Hepatology, Henry Ford Health System, Detroit, Michigan.</b:PlacePublished>
    <b:Pages>1342-1350 e1</b:Pages>
    <b:Volume>16</b:Volume>
    <b:StandardNumber>8</b:StandardNumber>
    <b:Month>Aug</b:Month>
    <b:DOI>10.1016/j.cgh.2017.12.033</b:DOI>
    <b:Title>Increasing Prevalence of Primary Biliary Cholangitis and Reduced Mortality With Treatment</b:Title>
    <b:JournalName>Clin Gastroenterol Hepatol</b:JournalName>
    <b:URL>https://www.ncbi.nlm.nih.gov/pubmed/29277621</b:URL>
    <b:Day>23</b:Day>
  </b:Source>
  <b:Source>
    <b:Tag>f7400998-0b44-4335-beef-8abd1a36f8e6</b:Tag>
    <b:RefOrder>11</b:RefOrder>
    <b:SourceType>JournalArticle</b:SourceType>
    <b:Year>2003</b:Year>
    <b:Author>
      <b:Author>
        <b:NameList>
          <b:Person>
            <b:First>J. A.</b:First>
            <b:Last>Talwalkar</b:Last>
          </b:Person>
          <b:Person>
            <b:First>E.</b:First>
            <b:Last>Souto</b:Last>
          </b:Person>
          <b:Person>
            <b:First>R. A.</b:First>
            <b:Last>Jorgensen</b:Last>
          </b:Person>
          <b:Person>
            <b:First>K. D.</b:First>
            <b:Last>Lindor</b:Last>
          </b:Person>
        </b:NameList>
      </b:Author>
    </b:Author>
    <b:PlacePublished>Division of Gastroenterology and Hepatology, Mayo Clinic and Foundation, 200 First Street SW, Rochester, MN 55905, USA.</b:PlacePublished>
    <b:Pages>297-302</b:Pages>
    <b:Volume>1</b:Volume>
    <b:StandardNumber>4</b:StandardNumber>
    <b:Month>Jul</b:Month>
    <b:Title>Natural history of pruritus in primary biliary cirrhosis</b:Title>
    <b:JournalName>Clin Gastroenterol Hepatol</b:JournalName>
    <b:Day>16</b:Day>
  </b:Source>
  <b:Source>
    <b:Tag>9e16f0ca-a96f-49bc-8312-bc640b1c79aa</b:Tag>
    <b:RefOrder>12</b:RefOrder>
    <b:SourceType>JournalArticle</b:SourceType>
    <b:Year>1994</b:Year>
    <b:Author>
      <b:Author>
        <b:NameList>
          <b:Person>
            <b:First>K. D.</b:First>
            <b:Last>Lindor</b:Last>
          </b:Person>
          <b:Person>
            <b:First>E. R.</b:First>
            <b:Last>Dickson</b:Last>
          </b:Person>
          <b:Person>
            <b:First>W. P.</b:First>
            <b:Last>Baldus</b:Last>
          </b:Person>
          <b:Person>
            <b:First>R. A.</b:First>
            <b:Last>Jorgensen</b:Last>
          </b:Person>
          <b:Person>
            <b:First>J.</b:First>
            <b:Last>Ludwig</b:Last>
          </b:Person>
          <b:Person>
            <b:First>P. A.</b:First>
            <b:Last>Murtaugh</b:Last>
          </b:Person>
          <b:Person>
            <b:First>J. M.</b:First>
            <b:Last>Harrison</b:Last>
          </b:Person>
          <b:Person>
            <b:First>R. H.</b:First>
            <b:Last>Wiesner</b:Last>
          </b:Person>
          <b:Person>
            <b:First>M. L.</b:First>
            <b:Last>Anderson</b:Last>
          </b:Person>
          <b:Person>
            <b:First>S. M.</b:First>
            <b:Last>Lange</b:Last>
          </b:Person>
          <b:Person>
            <b:First/>
            <b:Last>et al.</b:Last>
          </b:Person>
        </b:NameList>
      </b:Author>
    </b:Author>
    <b:PlacePublished>Division of Gastroenterology, Mayo Clinic, Rochester, Minnesota.</b:PlacePublished>
    <b:Pages>1284-90</b:Pages>
    <b:Volume>106</b:Volume>
    <b:StandardNumber>5</b:StandardNumber>
    <b:Month>May</b:Month>
    <b:DOI>10.1016/0016-5085(94)90021-3</b:DOI>
    <b:Title>Ursodeoxycholic acid in the treatment of primary biliary cirrhosis</b:Title>
    <b:JournalName>Gastroenterology</b:JournalName>
    <b:Day>1</b:Day>
  </b:Source>
  <b:Source>
    <b:Tag>678a088e-5e87-47ec-a463-286871ea52d2</b:Tag>
    <b:RefOrder>13</b:RefOrder>
    <b:SourceType>InternetSite</b:SourceType>
    <b:Year>2016</b:Year>
    <b:Author>
      <b:Author>
        <b:NameList>
          <b:Person>
            <b:First/>
            <b:Last>Food and Drug Administration</b:Last>
          </b:Person>
        </b:NameList>
      </b:Author>
    </b:Author>
    <b:Title>OCALIVA (obeticholic acid) prescribing information</b:Title>
  </b:Source>
  <b:Source>
    <b:Tag>8513c150-f784-4e52-a978-97aacd2f0ff8</b:Tag>
    <b:RefOrder>14</b:RefOrder>
    <b:SourceType>JournalArticle</b:SourceType>
    <b:Year>2018</b:Year>
    <b:Author>
      <b:Author>
        <b:NameList>
          <b:Person>
            <b:First>C.</b:First>
            <b:Last>Corpechot</b:Last>
          </b:Person>
          <b:Person>
            <b:First>O.</b:First>
            <b:Last>Chazouilleres</b:Last>
          </b:Person>
          <b:Person>
            <b:First>A.</b:First>
            <b:Last>Rousseau</b:Last>
          </b:Person>
          <b:Person>
            <b:First>A.</b:First>
            <b:Last>Le Gruyer</b:Last>
          </b:Person>
          <b:Person>
            <b:First>F.</b:First>
            <b:Last>Habersetzer</b:Last>
          </b:Person>
          <b:Person>
            <b:First>P.</b:First>
            <b:Last>Mathurin</b:Last>
          </b:Person>
          <b:Person>
            <b:First>O.</b:First>
            <b:Last>Goria</b:Last>
          </b:Person>
          <b:Person>
            <b:First>P.</b:First>
            <b:Last>Potier</b:Last>
          </b:Person>
          <b:Person>
            <b:First>A.</b:First>
            <b:Last>Minello</b:Last>
          </b:Person>
          <b:Person>
            <b:First>C.</b:First>
            <b:Last>Silvain</b:Last>
          </b:Person>
          <b:Person>
            <b:First>A.</b:First>
            <b:Last>Abergel</b:Last>
          </b:Person>
          <b:Person>
            <b:First>M.</b:First>
            <b:Last>Debette-Gratien</b:Last>
          </b:Person>
          <b:Person>
            <b:First>D.</b:First>
            <b:Last>Larrey</b:Last>
          </b:Person>
          <b:Person>
            <b:First>O.</b:First>
            <b:Last>Roux</b:Last>
          </b:Person>
          <b:Person>
            <b:First>J. P.</b:First>
            <b:Last>Bronowicki</b:Last>
          </b:Person>
          <b:Person>
            <b:First>J.</b:First>
            <b:Last>Boursier</b:Last>
          </b:Person>
          <b:Person>
            <b:First>V.</b:First>
            <b:Last>de Ledinghen</b:Last>
          </b:Person>
          <b:Person>
            <b:First>A.</b:First>
            <b:Last>Heurgue-Berlot</b:Last>
          </b:Person>
          <b:Person>
            <b:First>E.</b:First>
            <b:Last>Nguyen-Khac</b:Last>
          </b:Person>
          <b:Person>
            <b:First>F.</b:First>
            <b:Last>Zoulim</b:Last>
          </b:Person>
          <b:Person>
            <b:First>I.</b:First>
            <b:Last>Ollivier-Hourmand</b:Last>
          </b:Person>
          <b:Person>
            <b:First>J. P.</b:First>
            <b:Last>Zarski</b:Last>
          </b:Person>
          <b:Person>
            <b:First>G.</b:First>
            <b:Last>Nkontchou</b:Last>
          </b:Person>
          <b:Person>
            <b:First>S.</b:First>
            <b:Last>Lemoinne</b:Last>
          </b:Person>
          <b:Person>
            <b:First>L.</b:First>
            <b:Last>Humbert</b:Last>
          </b:Person>
          <b:Person>
            <b:First>D.</b:First>
            <b:Last>Rainteau</b:Last>
          </b:Person>
          <b:Person>
            <b:First>G.</b:First>
            <b:Last>Lefevre</b:Last>
          </b:Person>
          <b:Person>
            <b:First>L.</b:First>
            <b:Last>de Chaisemartin</b:Last>
          </b:Person>
          <b:Person>
            <b:First>S.</b:First>
            <b:Last>Chollet-Martin</b:Last>
          </b:Person>
          <b:Person>
            <b:First>F.</b:First>
            <b:Last>Gaouar</b:Last>
          </b:Person>
          <b:Person>
            <b:First>F. H.</b:First>
            <b:Last>Admane</b:Last>
          </b:Person>
          <b:Person>
            <b:First>T.</b:First>
            <b:Last>Simon</b:Last>
          </b:Person>
          <b:Person>
            <b:First>R.</b:First>
            <b:Last>Poupon</b:Last>
          </b:Person>
        </b:NameList>
      </b:Author>
    </b:Author>
    <b:PlacePublished>From the Reference Center for Inflammatory Biliary Diseases and Autoimmune Hepatitis, Hepatology and Gastroenterology Department, Saint-Antoine University Hospital, Assistance Publique-Hopitaux de Paris (APHP) (C.C., O.C., S.L., F.G., R.P.), INSERM Unite Mixte de Recherche (UMR) S938 (C.C., O.C., S.L., R.P.) and the Biochemistry Laboratory (L.H., D.R.), Saint-Antoine University Hospital, APHP, INSERM Unite 1157/UMR 7203, Sorbonne University, the Biochemistry Laboratory, Tenon University Hospital, APHP (G.L.), and the Immunology Laboratory, INSERM UMR S996, Bichat University Hospital, APHP (L.C., S.C.-M.), Paris-Sud University, the Department of Clinical Pharmacology and Clinical Research Platform of the East of Paris, APHP (A.R., F.-H.A., T.S.), and Sorbonne University (T.S.), Paris, the Hepatology and Gastroenterology Department, Rouen University Hospital, Rouen (O.G.), the Hepatology and Gastroenterology Department, Pontchaillou University Hospital, Rennes (A.L.G.), the Hepatology and Gastroenterology Department, University Hospitals of Strasbourg, Institute of Viral and Liver Diseases, INSERM Unite 1110, Laboratory of Excellence HepSYS, University of Strasbourg, Strasbourg (F.H.), the Hepatology and Gastroenterology Department, Claude Huriez University Hospital, Lille (P.M.), the Hepatology and Gastroenterology Department, Orleans Hospital, Orleans (P.P.), the Hepatology and Gastroenterology Department, Dijon Bourgogne University Hospital, Dijon (A.M.), the Hepatology and Gastroenterology Department, University Hospital of Poitiers, Poitiers (C.S.), the Hepatology and Gastroenterology Department, Estaing University Hospital, Clermont-Ferrand (A.A.), the Hepatology and Gastroenterology Department, University Hospital of Limoges, Limoges (M.D.-G.), the Hepatology and Gastroenterology Department, Saint-Eloi University Hospital, Montpellier (D.L.), the Hepatology Department, Beaujon University Hospital, Clichy (O.R.), the Hepatology and Gastroenterology Department, Brabois University Hospital, Nancy (J.-P.B.), the Hepatology and Gastroenterology Department, University Hospital of Angers, Hemodynamics, Interaction, Fibrosis, and Tumor Invasiveness in Hepatic and Digestive Organs Laboratory, Unite Propre de Recherche de l'Enseignement Superieur 3859, Structures Federatives de Recherche 4208, Bretagne Loire University, Angers (J.B.), the Hepatology and Gastroenterology Department, Haut-Leveque University Hospital, Pessac (V.L.), the Hepatology and Gastroenterology Department, Robert Debre University Hospital, Reims (A.H.-B.), the Hepatology and Gastroenterology Department, University Hospital of Amiens, Amiens (E.N.-K.), the Hepatology and Gastroenterology Department, Croix-Rousse University Hospital, Lyon (F.Z.), the Hepatology and Gastroenterology Department, University Hospital of Caen, Caen (I.O.-H.), the Hepatology and Gastroenterology Department, Michallon University Hospital, Grenoble (J.-P.Z.), and the Hepatology and Gastroenterology Department, Jean Verdier University Hospital, Bondy (G.N.) - all in France.</b:PlacePublished>
    <b:Pages>2171-2181</b:Pages>
    <b:Volume>378</b:Volume>
    <b:StandardNumber>23</b:StandardNumber>
    <b:Month>Jun 7</b:Month>
    <b:DOI>10.1056/NEJMoa1714519</b:DOI>
    <b:Title>A Placebo-Controlled Trial of Bezafibrate in Primary Biliary Cholangitis</b:Title>
    <b:JournalName>N Engl J Med</b:JournalName>
    <b:URL>https://www.ncbi.nlm.nih.gov/pubmed/29874528</b:URL>
  </b:Source>
  <b:Source>
    <b:Tag>a7ed6998-e756-4da3-8a6a-7ce7028a3e73</b:Tag>
    <b:RefOrder>15</b:RefOrder>
    <b:SourceType>JournalArticle</b:SourceType>
    <b:Year>2024</b:Year>
    <b:Author>
      <b:Author>
        <b:NameList>
          <b:Person>
            <b:First/>
            <b:Last>Food and Drug Administration</b:Last>
          </b:Person>
        </b:NameList>
      </b:Author>
    </b:Author>
    <b:Title>IQIRVO (elafibranor) prescribing information</b:Title>
    <b:URL>https://www.accessdata.fda.gov/drugsatfda_docs/label/2024/218860s000lbl.pdf</b:URL>
  </b:Source>
  <b:Source>
    <b:Tag>1d0185b7-35f6-4954-ac7e-8a5f748129ba</b:Tag>
    <b:RefOrder>16</b:RefOrder>
    <b:SourceType>InternetSite</b:SourceType>
    <b:Year>2024</b:Year>
    <b:Author>
      <b:Author>
        <b:NameList>
          <b:Person>
            <b:First/>
            <b:Last>Food and Drug Administration</b:Last>
          </b:Person>
        </b:NameList>
      </b:Author>
    </b:Author>
    <b:Title>LIVDELZI (seladelpar) prescribing information</b:Title>
  </b:Source>
  <b:Source>
    <b:Tag>afd8949b-fe54-4c77-9373-8e0f029c44b5</b:Tag>
    <b:RefOrder>17</b:RefOrder>
    <b:SourceType>JournalArticle</b:SourceType>
    <b:Year>2000</b:Year>
    <b:Author>
      <b:Author>
        <b:NameList>
          <b:Person>
            <b:First>N. V.</b:First>
            <b:Last>Bergasa</b:Last>
          </b:Person>
          <b:Person>
            <b:First>J. K.</b:First>
            <b:Last>Mehlman</b:Last>
          </b:Person>
          <b:Person>
            <b:First>E. A.</b:First>
            <b:Last>Jones</b:Last>
          </b:Person>
        </b:NameList>
      </b:Author>
    </b:Author>
    <b:PlacePublished>Division of Digestive and Liver Diseases, College of Physicians and Surgeons of Columbia University, 630 W 168 St, P &amp; S 10-508, New York, New York, 10032, USA.</b:PlacePublished>
    <b:Pages>643-55</b:Pages>
    <b:Volume>14</b:Volume>
    <b:StandardNumber>4</b:StandardNumber>
    <b:Month>Aug</b:Month>
    <b:DOI>10.1053/bega.2000.0109</b:DOI>
    <b:Title>Pruritus and fatigue in primary biliary cirrhosis</b:Title>
    <b:JournalName>Baillieres Best Pract Res Clin Gastroenterol</b:JournalName>
    <b:Day>8</b:Day>
  </b:Source>
  <b:Source>
    <b:Tag>4a2ecc3a-bd14-43d1-b235-9ee910c5687e</b:Tag>
    <b:RefOrder>18</b:RefOrder>
    <b:SourceType>JournalArticle</b:SourceType>
    <b:Year>2017</b:Year>
    <b:Author>
      <b:Author>
        <b:NameList>
          <b:Person>
            <b:First>H. D.</b:First>
            <b:Last>Trivedi</b:Last>
          </b:Person>
          <b:Person>
            <b:First>B.</b:First>
            <b:Last>Lizaola</b:Last>
          </b:Person>
          <b:Person>
            <b:First>E. B.</b:First>
            <b:Last>Tapper</b:Last>
          </b:Person>
          <b:Person>
            <b:First>A.</b:First>
            <b:Last>Bonder</b:Last>
          </b:Person>
        </b:NameList>
      </b:Author>
    </b:Author>
    <b:PlacePublished>Liver Center, Beth Israel Deaconess Medical Center, Harvard Medical School, Boston, Mass. Department of Medicine, St Elizabeth's Medical Center, Brighton, Mass. Department of Hepatology, University of Michigan, Ann Arbor. Liver Center, Beth Israel Deaconess Medical Center, Harvard Medical School, Boston, Mass. Electronic address: abonder@bidmc.harvard.edu.</b:PlacePublished>
    <b:Pages>744.e1-744.e7</b:Pages>
    <b:Volume>130</b:Volume>
    <b:StandardNumber>6</b:StandardNumber>
    <b:Month>Jun</b:Month>
    <b:DOI>10.1016/j.amjmed.2017.01.037</b:DOI>
    <b:Title>Management of Pruritus in Primary Biliary Cholangitis: A Narrative Review</b:Title>
    <b:JournalName>Am J Med</b:JournalName>
    <b:Day>28</b:Day>
  </b:Source>
  <b:Source>
    <b:Tag>52972345-bd4a-46a8-9b45-6b34ecacf6c8</b:Tag>
    <b:RefOrder>19</b:RefOrder>
    <b:SourceType>JournalArticle</b:SourceType>
    <b:Year>2021</b:Year>
    <b:Author>
      <b:Author>
        <b:NameList>
          <b:Person>
            <b:First>T.</b:First>
            <b:Last>Sivakumar</b:Last>
          </b:Person>
          <b:Person>
            <b:First>K. V.</b:First>
            <b:Last>Kowdley</b:Last>
          </b:Person>
        </b:NameList>
      </b:Author>
    </b:Author>
    <b:PlacePublished>Liver Institute Northwest Seattle, Seattle, WA, USA.</b:PlacePublished>
    <b:Pages>83-92</b:Pages>
    <b:Volume>13</b:Volume>
    <b:DOI>10.2147/hmer.S256692</b:DOI>
    <b:Title>Anxiety and Depression in Patients with Primary Biliary Cholangitis: Current Insights and Impact on Quality of Life</b:Title>
    <b:JournalName>Hepat Med</b:JournalName>
    <b:Day>7</b:Day>
    <b:Month>9</b:Month>
  </b:Source>
  <b:Source>
    <b:Tag>f1006505-6780-40a5-9e81-4ae3a4b10bf4</b:Tag>
    <b:RefOrder>20</b:RefOrder>
    <b:SourceType>JournalArticle</b:SourceType>
    <b:Year>2022</b:Year>
    <b:Author>
      <b:Author>
        <b:NameList>
          <b:Person>
            <b:First>U.</b:First>
            <b:Last>Gungabissoon</b:Last>
          </b:Person>
          <b:Person>
            <b:First>D. C.</b:First>
            <b:Last>Gibbons</b:Last>
          </b:Person>
          <b:Person>
            <b:First>G.</b:First>
            <b:Last>Requena</b:Last>
          </b:Person>
          <b:Person>
            <b:First>A.</b:First>
            <b:Last>Ribeiro de Souza</b:Last>
          </b:Person>
          <b:Person>
            <b:First>H.</b:First>
            <b:Last>Smith</b:Last>
          </b:Person>
        </b:NameList>
      </b:Author>
    </b:Author>
    <b:PlacePublished>Value Evidence and Outcomes (Epidemiology), Global Medical R&amp;D, GSK, Brentford, UK usha.2.gungabissoon@gsk.com. Value Evidence and Outcomes (Real World Analytics), GSK, Brentford, UK. Value Evidence and Outcomes (Epidemiology), Global Medical R&amp;D, GSK, Brentford, UK. Research and Development, GSK, Madrid, Spain. Value Evidence and Outcomes (Specialty), GSK, Brentford, UK.</b:PlacePublished>
    <b:Volume>9</b:Volume>
    <b:StandardNumber>1</b:StandardNumber>
    <b:Month>Aug</b:Month>
    <b:DOI>10.1136/bmjgast-2021-000857</b:DOI>
    <b:Title>Disease burden of primary biliary cholangitis and associated pruritus based on a cross-sectional US claims analysis</b:Title>
    <b:JournalName>BMJ Open Gastroenterol</b:JournalName>
    <b:URL>https://www.ncbi.nlm.nih.gov/pubmed/35973742</b:URL>
  </b:Source>
  <b:Source>
    <b:Tag>023576b6-852d-4f78-b8bd-a7d66c2ae985</b:Tag>
    <b:RefOrder>21</b:RefOrder>
    <b:SourceType>JournalArticle</b:SourceType>
    <b:Year>2019</b:Year>
    <b:Author>
      <b:Author>
        <b:NameList>
          <b:Person>
            <b:First>Mehmet</b:First>
            <b:Last>Sayiner</b:Last>
          </b:Person>
          <b:Person>
            <b:First>Pegah</b:First>
            <b:Last>Golabi</b:Last>
          </b:Person>
          <b:Person>
            <b:First>Maria</b:First>
            <b:Last>Stepanova</b:Last>
          </b:Person>
          <b:Person>
            <b:First>Issah</b:First>
            <b:Last>Younossi</b:Last>
          </b:Person>
          <b:Person>
            <b:First>Fatema</b:First>
            <b:Last>Nader</b:Last>
          </b:Person>
          <b:Person>
            <b:First>Andrei</b:First>
            <b:Last>Racila</b:Last>
          </b:Person>
          <b:Person>
            <b:First>Zobair M.</b:First>
            <b:Last>Younossi</b:Last>
          </b:Person>
        </b:NameList>
      </b:Author>
    </b:Author>
    <b:Pages>237-244</b:Pages>
    <b:Volume>69</b:Volume>
    <b:StandardNumber>1</b:StandardNumber>
    <b:DOI>https://doi.org/10.1002/hep.30174</b:DOI>
    <b:Title>Primary Biliary Cholangitis in Medicare Population: The Impact on Mortality and Resource Use</b:Title>
    <b:JournalName>Hepatology</b:JournalName>
    <b:URL>https://aasldpubs.onlinelibrary.wiley.com/doi/abs/10.1002/hep.30174</b:URL>
  </b:Source>
  <b:Source>
    <b:Tag>7dcae63a-07a3-4976-b659-0c7ab3c198b9</b:Tag>
    <b:RefOrder>22</b:RefOrder>
    <b:SourceType>JournalArticle</b:SourceType>
    <b:Year>2019</b:Year>
    <b:Author>
      <b:Author>
        <b:NameList>
          <b:Person>
            <b:First>O.</b:First>
            <b:Last>Shahab</b:Last>
          </b:Person>
          <b:Person>
            <b:First>M.</b:First>
            <b:Last>Sayiner</b:Last>
          </b:Person>
          <b:Person>
            <b:First>J.</b:First>
            <b:Last>Paik</b:Last>
          </b:Person>
          <b:Person>
            <b:First>S.</b:First>
            <b:Last>Felix</b:Last>
          </b:Person>
          <b:Person>
            <b:First>P.</b:First>
            <b:Last>Golabi</b:Last>
          </b:Person>
          <b:Person>
            <b:First>Z. M.</b:First>
            <b:Last>Younossi</b:Last>
          </b:Person>
        </b:NameList>
      </b:Author>
    </b:Author>
    <b:PlacePublished>Center for Liver Disease, Department of Medicine Inova Fairfax Hospital Falls Church VA. Betty and Guy Beatty Center for Integrated Research Inova Health System Falls Church VA.</b:PlacePublished>
    <b:Pages>356-364</b:Pages>
    <b:Volume>3</b:Volume>
    <b:StandardNumber>3</b:StandardNumber>
    <b:Month>Mar</b:Month>
    <b:DOI>10.1002/hep4.1314</b:DOI>
    <b:Title>Burden of Primary Biliary Cholangitis Among Inpatient Population in the United States</b:Title>
    <b:JournalName>Hepatol Commun</b:JournalName>
    <b:Day>13</b:Day>
  </b:Source>
  <b:Source>
    <b:Tag>85c576a1-f9a8-402a-a89b-4c927e49ea9d</b:Tag>
    <b:RefOrder>23</b:RefOrder>
    <b:SourceType>JournalArticle</b:SourceType>
    <b:Author>
      <b:Author>
        <b:NameList>
          <b:Person>
            <b:First>F. K.</b:First>
            <b:Last>Varyani</b:Last>
          </b:Person>
          <b:Person>
            <b:First>Timothy R.</b:First>
            <b:Last>West J Fau - Card</b:Last>
          </b:Person>
          <b:Person>
            <b:First>T. R.</b:First>
            <b:Last>Card</b:Last>
          </b:Person>
        </b:NameList>
      </b:Author>
    </b:Author>
    <b:PlacePublished>Division of Epidemiology and Public Health, University of Nottingham, Clinical Sciences Building Phase 2, Hucknall Road, Nottingham, NG5 1PB, UK. FAU - West, Joe</b:PlacePublished>
    <b:StandardNumber>1471-230X (Electronic)</b:StandardNumber>
    <b:Title>An increased risk of urinary tract infection precedes development of primary biliary cirrhosis</b:Title>
  </b:Source>
  <b:Source>
    <b:Tag>5fe782b4-e222-4691-8181-06faba29ec55</b:Tag>
    <b:RefOrder>24</b:RefOrder>
    <b:SourceType>JournalArticle</b:SourceType>
    <b:Year>2011</b:Year>
    <b:Author>
      <b:Author>
        <b:NameList>
          <b:Person>
            <b:First>Li B, Couris CM, Fushimi K, Graham P, Hider P, Januel JM, Sundararajan V</b:First>
            <b:Last>Quan H</b:Last>
          </b:Person>
        </b:NameList>
      </b:Author>
    </b:Author>
    <b:Pages>676-682</b:Pages>
    <b:Volume>173</b:Volume>
    <b:StandardNumber>6</b:StandardNumber>
    <b:DOI>10.1093/aje/kwq433</b:DOI>
    <b:Title>Updating and validating the Charlson comorbidity index and score for risk adjustment in hospital discharge abstracts using data from 6 countries</b:Title>
    <b:JournalName>American Journal of Epidemiology</b:JournalName>
  </b:Source>
</b:Sources>
</file>

<file path=customXml/item2.xml><?xml version="1.0" encoding="utf-8"?>
<p:properties xmlns:p="http://schemas.microsoft.com/office/2006/metadata/properties" xmlns:xsi="http://www.w3.org/2001/XMLSchema-instance" xmlns:pc="http://schemas.microsoft.com/office/infopath/2007/PartnerControls">
  <documentManagement>
    <TaxCatchAll xmlns="1658e95a-e2e8-40ba-aa36-2cc257e9700f" xsi:nil="true"/>
    <lcf76f155ced4ddcb4097134ff3c332f xmlns="c9b841b3-1898-47de-82b9-6889b6129c8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0F7ED709EA0488D9E5ECD8C6D13C7" ma:contentTypeVersion="15" ma:contentTypeDescription="Create a new document." ma:contentTypeScope="" ma:versionID="5af9ed706f01bee37a0065c29e2800c7">
  <xsd:schema xmlns:xsd="http://www.w3.org/2001/XMLSchema" xmlns:xs="http://www.w3.org/2001/XMLSchema" xmlns:p="http://schemas.microsoft.com/office/2006/metadata/properties" xmlns:ns2="c9b841b3-1898-47de-82b9-6889b6129c81" xmlns:ns3="1658e95a-e2e8-40ba-aa36-2cc257e9700f" targetNamespace="http://schemas.microsoft.com/office/2006/metadata/properties" ma:root="true" ma:fieldsID="40541f9d04ab1d06158c71ad609303ec" ns2:_="" ns3:_="">
    <xsd:import namespace="c9b841b3-1898-47de-82b9-6889b6129c81"/>
    <xsd:import namespace="1658e95a-e2e8-40ba-aa36-2cc257e9700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841b3-1898-47de-82b9-6889b6129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2f43072-ac08-40e1-8efb-78950c7406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8e95a-e2e8-40ba-aa36-2cc257e9700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b60d3449-d944-4f07-8ec6-3e3a6d3b4a2e}" ma:internalName="TaxCatchAll" ma:showField="CatchAllData" ma:web="1658e95a-e2e8-40ba-aa36-2cc257e9700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6EC90C1-2D31-422D-873F-9FE903C28DC3}">
  <ds:schemaRefs>
    <ds:schemaRef ds:uri="http://schemas.microsoft.com/office/2006/metadata/properties"/>
    <ds:schemaRef ds:uri="http://schemas.microsoft.com/office/infopath/2007/PartnerControls"/>
    <ds:schemaRef ds:uri="1658e95a-e2e8-40ba-aa36-2cc257e9700f"/>
    <ds:schemaRef ds:uri="c9b841b3-1898-47de-82b9-6889b6129c81"/>
  </ds:schemaRefs>
</ds:datastoreItem>
</file>

<file path=customXml/itemProps3.xml><?xml version="1.0" encoding="utf-8"?>
<ds:datastoreItem xmlns:ds="http://schemas.openxmlformats.org/officeDocument/2006/customXml" ds:itemID="{D90A6B8E-DB69-45E6-9315-B5EE3BC12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841b3-1898-47de-82b9-6889b6129c81"/>
    <ds:schemaRef ds:uri="1658e95a-e2e8-40ba-aa36-2cc257e97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A4771A-3663-4252-AD1F-02803A48B7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1317</Words>
  <Characters>7311</Characters>
  <Application>Microsoft Office Word</Application>
  <DocSecurity>0</DocSecurity>
  <Lines>522</Lines>
  <Paragraphs>479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Caitlin Duffy</cp:lastModifiedBy>
  <cp:revision>3</cp:revision>
  <cp:lastPrinted>2024-11-20T18:39:00Z</cp:lastPrinted>
  <dcterms:created xsi:type="dcterms:W3CDTF">2026-08-04T16:05:00Z</dcterms:created>
  <dcterms:modified xsi:type="dcterms:W3CDTF">2026-08-04T16:05:00Z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0x0101004BD0F7ED709EA0488D9E5ECD8C6D13C7</vt:lpwstr>
  </property>
  <property fmtid="{D5CDD505-2E9C-101B-9397-08002B2CF9AE}" pid="3" name="MediaServiceImageTags">
    <vt:lpwstr/>
  </property>
  <property fmtid="{D5CDD505-2E9C-101B-9397-08002B2CF9AE}" pid="4" name="BibliographyTitle">
    <vt:lpwstr/>
  </property>
</Properties>
</file>